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163" w:rsidRPr="0044260B" w:rsidRDefault="00DB4C49" w:rsidP="00DB4C49">
      <w:pPr>
        <w:jc w:val="center"/>
        <w:rPr>
          <w:rFonts w:ascii="Arial" w:hAnsi="Arial" w:cs="Arial"/>
          <w:b/>
          <w:color w:val="0070C0"/>
          <w:sz w:val="28"/>
          <w:szCs w:val="28"/>
        </w:rPr>
      </w:pPr>
      <w:r w:rsidRPr="0044260B">
        <w:rPr>
          <w:rFonts w:ascii="Arial" w:hAnsi="Arial" w:cs="Arial"/>
          <w:b/>
          <w:color w:val="0070C0"/>
          <w:sz w:val="28"/>
          <w:szCs w:val="28"/>
        </w:rPr>
        <w:t>National Assessments</w:t>
      </w:r>
    </w:p>
    <w:p w:rsidR="00DB4C49" w:rsidRPr="0044260B" w:rsidRDefault="00DB4C49" w:rsidP="00DB4C49">
      <w:pPr>
        <w:jc w:val="center"/>
        <w:rPr>
          <w:rFonts w:ascii="Arial" w:hAnsi="Arial" w:cs="Arial"/>
          <w:b/>
          <w:color w:val="0070C0"/>
          <w:sz w:val="28"/>
          <w:szCs w:val="28"/>
        </w:rPr>
      </w:pPr>
      <w:r w:rsidRPr="0044260B">
        <w:rPr>
          <w:rFonts w:ascii="Arial" w:hAnsi="Arial" w:cs="Arial"/>
          <w:b/>
          <w:color w:val="0070C0"/>
          <w:sz w:val="28"/>
          <w:szCs w:val="28"/>
        </w:rPr>
        <w:t>2022-2023</w:t>
      </w:r>
    </w:p>
    <w:p w:rsidR="00143394" w:rsidRPr="0044260B" w:rsidRDefault="00143394" w:rsidP="00DB4C49">
      <w:pPr>
        <w:jc w:val="center"/>
        <w:rPr>
          <w:rFonts w:ascii="Arial" w:hAnsi="Arial" w:cs="Arial"/>
          <w:b/>
          <w:color w:val="0070C0"/>
          <w:sz w:val="28"/>
          <w:szCs w:val="28"/>
        </w:rPr>
      </w:pPr>
      <w:r w:rsidRPr="0044260B">
        <w:rPr>
          <w:rFonts w:ascii="Arial" w:hAnsi="Arial" w:cs="Arial"/>
          <w:b/>
          <w:color w:val="0070C0"/>
          <w:sz w:val="28"/>
          <w:szCs w:val="28"/>
        </w:rPr>
        <w:t>(</w:t>
      </w:r>
      <w:proofErr w:type="spellStart"/>
      <w:r w:rsidRPr="0044260B">
        <w:rPr>
          <w:rFonts w:ascii="Arial" w:hAnsi="Arial" w:cs="Arial"/>
          <w:b/>
          <w:color w:val="0070C0"/>
          <w:sz w:val="28"/>
          <w:szCs w:val="28"/>
        </w:rPr>
        <w:t>Unvalidated</w:t>
      </w:r>
      <w:proofErr w:type="spellEnd"/>
      <w:r w:rsidRPr="0044260B">
        <w:rPr>
          <w:rFonts w:ascii="Arial" w:hAnsi="Arial" w:cs="Arial"/>
          <w:b/>
          <w:color w:val="0070C0"/>
          <w:sz w:val="28"/>
          <w:szCs w:val="28"/>
        </w:rPr>
        <w:t>)</w:t>
      </w:r>
    </w:p>
    <w:p w:rsidR="00DB4C49" w:rsidRPr="00DB4C49" w:rsidRDefault="00DB4C49" w:rsidP="00DB4C49">
      <w:pPr>
        <w:jc w:val="center"/>
        <w:rPr>
          <w:rFonts w:ascii="Arial" w:hAnsi="Arial" w:cs="Arial"/>
          <w:color w:val="0070C0"/>
        </w:rPr>
      </w:pPr>
    </w:p>
    <w:p w:rsidR="00DB4C49" w:rsidRPr="00DB4C49" w:rsidRDefault="00DB4C49" w:rsidP="00DB4C49">
      <w:pPr>
        <w:rPr>
          <w:rFonts w:ascii="Arial" w:hAnsi="Arial" w:cs="Arial"/>
          <w:b/>
          <w:color w:val="0070C0"/>
        </w:rPr>
      </w:pPr>
      <w:r w:rsidRPr="00DB4C49">
        <w:rPr>
          <w:rFonts w:ascii="Arial" w:hAnsi="Arial" w:cs="Arial"/>
          <w:b/>
          <w:color w:val="0070C0"/>
        </w:rPr>
        <w:t>2023 Phonics Screening Check</w:t>
      </w:r>
    </w:p>
    <w:p w:rsidR="00DB4C49" w:rsidRDefault="00DB4C49" w:rsidP="0044260B">
      <w:pPr>
        <w:jc w:val="both"/>
        <w:rPr>
          <w:rFonts w:ascii="Arial" w:hAnsi="Arial" w:cs="Arial"/>
        </w:rPr>
      </w:pPr>
      <w:r>
        <w:rPr>
          <w:rFonts w:ascii="Arial" w:hAnsi="Arial" w:cs="Arial"/>
        </w:rPr>
        <w:t>At the end of Year 1, pupils undertake the Phonics Screening Check, through which their recognition of phonics (sounds) is tested. Any child who does not reach the national standard will re-take the test at the end of Year 2.</w:t>
      </w:r>
    </w:p>
    <w:p w:rsidR="00DB4C49" w:rsidRPr="00DB4C49" w:rsidRDefault="00DB4C49" w:rsidP="00DB4C49">
      <w:pPr>
        <w:rPr>
          <w:rFonts w:ascii="Arial" w:hAnsi="Arial" w:cs="Arial"/>
          <w:b/>
          <w:color w:val="0070C0"/>
        </w:rPr>
      </w:pPr>
      <w:r w:rsidRPr="00DB4C49">
        <w:rPr>
          <w:rFonts w:ascii="Arial" w:hAnsi="Arial" w:cs="Arial"/>
          <w:b/>
          <w:color w:val="0070C0"/>
        </w:rPr>
        <w:t>Year 1:</w:t>
      </w:r>
    </w:p>
    <w:tbl>
      <w:tblPr>
        <w:tblStyle w:val="TableGrid"/>
        <w:tblW w:w="0" w:type="auto"/>
        <w:tblLook w:val="04A0" w:firstRow="1" w:lastRow="0" w:firstColumn="1" w:lastColumn="0" w:noHBand="0" w:noVBand="1"/>
      </w:tblPr>
      <w:tblGrid>
        <w:gridCol w:w="3485"/>
        <w:gridCol w:w="3485"/>
        <w:gridCol w:w="3486"/>
      </w:tblGrid>
      <w:tr w:rsidR="00DB4C49" w:rsidTr="00DB4C49">
        <w:tc>
          <w:tcPr>
            <w:tcW w:w="3485" w:type="dxa"/>
            <w:shd w:val="clear" w:color="auto" w:fill="BDD6EE" w:themeFill="accent1" w:themeFillTint="66"/>
          </w:tcPr>
          <w:p w:rsidR="00DB4C49" w:rsidRDefault="00DB4C49" w:rsidP="00DB4C49">
            <w:pPr>
              <w:jc w:val="center"/>
              <w:rPr>
                <w:rFonts w:ascii="Arial" w:hAnsi="Arial" w:cs="Arial"/>
              </w:rPr>
            </w:pPr>
            <w:r>
              <w:rPr>
                <w:rFonts w:ascii="Arial" w:hAnsi="Arial" w:cs="Arial"/>
              </w:rPr>
              <w:t>Number of pupils reaching the threshold by the end of Y1 in 2023</w:t>
            </w:r>
          </w:p>
        </w:tc>
        <w:tc>
          <w:tcPr>
            <w:tcW w:w="3485" w:type="dxa"/>
            <w:shd w:val="clear" w:color="auto" w:fill="BDD6EE" w:themeFill="accent1" w:themeFillTint="66"/>
          </w:tcPr>
          <w:p w:rsidR="00DB4C49" w:rsidRDefault="00DB4C49" w:rsidP="00DB4C49">
            <w:pPr>
              <w:jc w:val="center"/>
              <w:rPr>
                <w:rFonts w:ascii="Arial" w:hAnsi="Arial" w:cs="Arial"/>
              </w:rPr>
            </w:pPr>
            <w:r>
              <w:rPr>
                <w:rFonts w:ascii="Arial" w:hAnsi="Arial" w:cs="Arial"/>
              </w:rPr>
              <w:t>Percentage of pupils reaching the threshold by the end of Y1 in 2023</w:t>
            </w:r>
          </w:p>
        </w:tc>
        <w:tc>
          <w:tcPr>
            <w:tcW w:w="3486" w:type="dxa"/>
            <w:shd w:val="clear" w:color="auto" w:fill="BDD6EE" w:themeFill="accent1" w:themeFillTint="66"/>
          </w:tcPr>
          <w:p w:rsidR="00DB4C49" w:rsidRDefault="00DB4C49" w:rsidP="00DB4C49">
            <w:pPr>
              <w:jc w:val="center"/>
              <w:rPr>
                <w:rFonts w:ascii="Arial" w:hAnsi="Arial" w:cs="Arial"/>
              </w:rPr>
            </w:pPr>
            <w:r>
              <w:rPr>
                <w:rFonts w:ascii="Arial" w:hAnsi="Arial" w:cs="Arial"/>
              </w:rPr>
              <w:t>National Average</w:t>
            </w:r>
          </w:p>
        </w:tc>
      </w:tr>
      <w:tr w:rsidR="00DB4C49" w:rsidTr="00DB4C49">
        <w:tc>
          <w:tcPr>
            <w:tcW w:w="3485" w:type="dxa"/>
          </w:tcPr>
          <w:p w:rsidR="00DB4C49" w:rsidRDefault="003D6352" w:rsidP="00DB4C49">
            <w:pPr>
              <w:jc w:val="center"/>
              <w:rPr>
                <w:rFonts w:ascii="Arial" w:hAnsi="Arial" w:cs="Arial"/>
              </w:rPr>
            </w:pPr>
            <w:r>
              <w:rPr>
                <w:rFonts w:ascii="Arial" w:hAnsi="Arial" w:cs="Arial"/>
              </w:rPr>
              <w:t>22/29</w:t>
            </w:r>
          </w:p>
        </w:tc>
        <w:tc>
          <w:tcPr>
            <w:tcW w:w="3485" w:type="dxa"/>
          </w:tcPr>
          <w:p w:rsidR="00DB4C49" w:rsidRDefault="003D6352" w:rsidP="00DB4C49">
            <w:pPr>
              <w:jc w:val="center"/>
              <w:rPr>
                <w:rFonts w:ascii="Arial" w:hAnsi="Arial" w:cs="Arial"/>
              </w:rPr>
            </w:pPr>
            <w:r>
              <w:rPr>
                <w:rFonts w:ascii="Arial" w:hAnsi="Arial" w:cs="Arial"/>
              </w:rPr>
              <w:t>76%</w:t>
            </w:r>
          </w:p>
        </w:tc>
        <w:tc>
          <w:tcPr>
            <w:tcW w:w="3486" w:type="dxa"/>
          </w:tcPr>
          <w:p w:rsidR="00DB4C49" w:rsidRDefault="003D6352" w:rsidP="00DB4C49">
            <w:pPr>
              <w:jc w:val="center"/>
              <w:rPr>
                <w:rFonts w:ascii="Arial" w:hAnsi="Arial" w:cs="Arial"/>
              </w:rPr>
            </w:pPr>
            <w:r>
              <w:rPr>
                <w:rFonts w:ascii="Arial" w:hAnsi="Arial" w:cs="Arial"/>
              </w:rPr>
              <w:t>79%</w:t>
            </w:r>
          </w:p>
        </w:tc>
      </w:tr>
    </w:tbl>
    <w:p w:rsidR="00DB4C49" w:rsidRDefault="00DB4C49" w:rsidP="00DB4C49">
      <w:pPr>
        <w:rPr>
          <w:rFonts w:ascii="Arial" w:hAnsi="Arial" w:cs="Arial"/>
        </w:rPr>
      </w:pPr>
    </w:p>
    <w:p w:rsidR="00DB4C49" w:rsidRPr="00DB4C49" w:rsidRDefault="00DB4C49" w:rsidP="00DB4C49">
      <w:pPr>
        <w:rPr>
          <w:rFonts w:ascii="Arial" w:hAnsi="Arial" w:cs="Arial"/>
          <w:b/>
          <w:color w:val="0070C0"/>
        </w:rPr>
      </w:pPr>
      <w:r w:rsidRPr="00DB4C49">
        <w:rPr>
          <w:rFonts w:ascii="Arial" w:hAnsi="Arial" w:cs="Arial"/>
          <w:b/>
          <w:color w:val="0070C0"/>
        </w:rPr>
        <w:t>Year 2 Re-takes:</w:t>
      </w:r>
    </w:p>
    <w:tbl>
      <w:tblPr>
        <w:tblStyle w:val="TableGrid"/>
        <w:tblW w:w="0" w:type="auto"/>
        <w:tblLook w:val="04A0" w:firstRow="1" w:lastRow="0" w:firstColumn="1" w:lastColumn="0" w:noHBand="0" w:noVBand="1"/>
      </w:tblPr>
      <w:tblGrid>
        <w:gridCol w:w="3485"/>
        <w:gridCol w:w="3485"/>
        <w:gridCol w:w="3486"/>
      </w:tblGrid>
      <w:tr w:rsidR="00DB4C49" w:rsidTr="0038326E">
        <w:tc>
          <w:tcPr>
            <w:tcW w:w="3485" w:type="dxa"/>
            <w:shd w:val="clear" w:color="auto" w:fill="BDD6EE" w:themeFill="accent1" w:themeFillTint="66"/>
          </w:tcPr>
          <w:p w:rsidR="00DB4C49" w:rsidRDefault="00DB4C49" w:rsidP="0038326E">
            <w:pPr>
              <w:jc w:val="center"/>
              <w:rPr>
                <w:rFonts w:ascii="Arial" w:hAnsi="Arial" w:cs="Arial"/>
              </w:rPr>
            </w:pPr>
            <w:r>
              <w:rPr>
                <w:rFonts w:ascii="Arial" w:hAnsi="Arial" w:cs="Arial"/>
              </w:rPr>
              <w:t>Number of pupils reachin</w:t>
            </w:r>
            <w:r>
              <w:rPr>
                <w:rFonts w:ascii="Arial" w:hAnsi="Arial" w:cs="Arial"/>
              </w:rPr>
              <w:t>g the threshold by the end of Y2</w:t>
            </w:r>
            <w:r>
              <w:rPr>
                <w:rFonts w:ascii="Arial" w:hAnsi="Arial" w:cs="Arial"/>
              </w:rPr>
              <w:t xml:space="preserve"> in 2023</w:t>
            </w:r>
          </w:p>
        </w:tc>
        <w:tc>
          <w:tcPr>
            <w:tcW w:w="3485" w:type="dxa"/>
            <w:shd w:val="clear" w:color="auto" w:fill="BDD6EE" w:themeFill="accent1" w:themeFillTint="66"/>
          </w:tcPr>
          <w:p w:rsidR="00DB4C49" w:rsidRDefault="00DB4C49" w:rsidP="0038326E">
            <w:pPr>
              <w:jc w:val="center"/>
              <w:rPr>
                <w:rFonts w:ascii="Arial" w:hAnsi="Arial" w:cs="Arial"/>
              </w:rPr>
            </w:pPr>
            <w:r>
              <w:rPr>
                <w:rFonts w:ascii="Arial" w:hAnsi="Arial" w:cs="Arial"/>
              </w:rPr>
              <w:t>Percentage of pupils reachin</w:t>
            </w:r>
            <w:r>
              <w:rPr>
                <w:rFonts w:ascii="Arial" w:hAnsi="Arial" w:cs="Arial"/>
              </w:rPr>
              <w:t>g the threshold by the end of Y2</w:t>
            </w:r>
            <w:r>
              <w:rPr>
                <w:rFonts w:ascii="Arial" w:hAnsi="Arial" w:cs="Arial"/>
              </w:rPr>
              <w:t xml:space="preserve"> in 2023</w:t>
            </w:r>
          </w:p>
        </w:tc>
        <w:tc>
          <w:tcPr>
            <w:tcW w:w="3486" w:type="dxa"/>
            <w:shd w:val="clear" w:color="auto" w:fill="BDD6EE" w:themeFill="accent1" w:themeFillTint="66"/>
          </w:tcPr>
          <w:p w:rsidR="00DB4C49" w:rsidRDefault="00DB4C49" w:rsidP="0038326E">
            <w:pPr>
              <w:jc w:val="center"/>
              <w:rPr>
                <w:rFonts w:ascii="Arial" w:hAnsi="Arial" w:cs="Arial"/>
              </w:rPr>
            </w:pPr>
            <w:r>
              <w:rPr>
                <w:rFonts w:ascii="Arial" w:hAnsi="Arial" w:cs="Arial"/>
              </w:rPr>
              <w:t>National Average</w:t>
            </w:r>
          </w:p>
        </w:tc>
      </w:tr>
      <w:tr w:rsidR="00DB4C49" w:rsidTr="0038326E">
        <w:tc>
          <w:tcPr>
            <w:tcW w:w="3485" w:type="dxa"/>
          </w:tcPr>
          <w:p w:rsidR="00DB4C49" w:rsidRDefault="003D6352" w:rsidP="0038326E">
            <w:pPr>
              <w:jc w:val="center"/>
              <w:rPr>
                <w:rFonts w:ascii="Arial" w:hAnsi="Arial" w:cs="Arial"/>
              </w:rPr>
            </w:pPr>
            <w:r>
              <w:rPr>
                <w:rFonts w:ascii="Arial" w:hAnsi="Arial" w:cs="Arial"/>
              </w:rPr>
              <w:t>26/30</w:t>
            </w:r>
          </w:p>
        </w:tc>
        <w:tc>
          <w:tcPr>
            <w:tcW w:w="3485" w:type="dxa"/>
          </w:tcPr>
          <w:p w:rsidR="00DB4C49" w:rsidRDefault="003D6352" w:rsidP="0038326E">
            <w:pPr>
              <w:jc w:val="center"/>
              <w:rPr>
                <w:rFonts w:ascii="Arial" w:hAnsi="Arial" w:cs="Arial"/>
              </w:rPr>
            </w:pPr>
            <w:r>
              <w:rPr>
                <w:rFonts w:ascii="Arial" w:hAnsi="Arial" w:cs="Arial"/>
              </w:rPr>
              <w:t>87%</w:t>
            </w:r>
          </w:p>
        </w:tc>
        <w:tc>
          <w:tcPr>
            <w:tcW w:w="3486" w:type="dxa"/>
          </w:tcPr>
          <w:p w:rsidR="00DB4C49" w:rsidRDefault="003D6352" w:rsidP="0038326E">
            <w:pPr>
              <w:jc w:val="center"/>
              <w:rPr>
                <w:rFonts w:ascii="Arial" w:hAnsi="Arial" w:cs="Arial"/>
              </w:rPr>
            </w:pPr>
            <w:r>
              <w:rPr>
                <w:rFonts w:ascii="Arial" w:hAnsi="Arial" w:cs="Arial"/>
              </w:rPr>
              <w:t>89%</w:t>
            </w:r>
          </w:p>
        </w:tc>
      </w:tr>
    </w:tbl>
    <w:p w:rsidR="00DB4C49" w:rsidRDefault="00DB4C49" w:rsidP="00DB4C49">
      <w:pPr>
        <w:rPr>
          <w:rFonts w:ascii="Arial" w:hAnsi="Arial" w:cs="Arial"/>
        </w:rPr>
      </w:pPr>
    </w:p>
    <w:p w:rsidR="00DB4C49" w:rsidRPr="00143394" w:rsidRDefault="00DB4C49" w:rsidP="00DB4C49">
      <w:pPr>
        <w:rPr>
          <w:rFonts w:ascii="Arial" w:hAnsi="Arial" w:cs="Arial"/>
          <w:b/>
          <w:color w:val="0070C0"/>
        </w:rPr>
      </w:pPr>
      <w:r w:rsidRPr="00143394">
        <w:rPr>
          <w:rFonts w:ascii="Arial" w:hAnsi="Arial" w:cs="Arial"/>
          <w:b/>
          <w:color w:val="0070C0"/>
        </w:rPr>
        <w:t xml:space="preserve">2023 End of Key Stage 1 </w:t>
      </w:r>
      <w:bookmarkStart w:id="0" w:name="_GoBack"/>
      <w:bookmarkEnd w:id="0"/>
      <w:r w:rsidRPr="00143394">
        <w:rPr>
          <w:rFonts w:ascii="Arial" w:hAnsi="Arial" w:cs="Arial"/>
          <w:b/>
          <w:color w:val="0070C0"/>
        </w:rPr>
        <w:t>Assessments</w:t>
      </w:r>
    </w:p>
    <w:p w:rsidR="00DB4C49" w:rsidRDefault="00DB4C49" w:rsidP="0044260B">
      <w:pPr>
        <w:jc w:val="both"/>
        <w:rPr>
          <w:rFonts w:ascii="Arial" w:hAnsi="Arial" w:cs="Arial"/>
        </w:rPr>
      </w:pPr>
      <w:r>
        <w:rPr>
          <w:rFonts w:ascii="Arial" w:hAnsi="Arial" w:cs="Arial"/>
        </w:rPr>
        <w:t xml:space="preserve">Y2 pupils sat tests for reading and maths in May 2023; the test papers were marked by their class teacher and the results used to help form a judgment on each child’s attainment over the last two years, during their time in Key Stage 1. </w:t>
      </w:r>
    </w:p>
    <w:p w:rsidR="00DB4C49" w:rsidRDefault="00DB4C49" w:rsidP="0044260B">
      <w:pPr>
        <w:jc w:val="both"/>
        <w:rPr>
          <w:rFonts w:ascii="Arial" w:hAnsi="Arial" w:cs="Arial"/>
        </w:rPr>
      </w:pPr>
      <w:r>
        <w:rPr>
          <w:rFonts w:ascii="Arial" w:hAnsi="Arial" w:cs="Arial"/>
        </w:rPr>
        <w:t>Here is a summary of our Y2 pupils’ attainment based on teacher assessment, using a range of evidence, including children’s work and test results:</w:t>
      </w:r>
    </w:p>
    <w:tbl>
      <w:tblPr>
        <w:tblStyle w:val="TableGrid"/>
        <w:tblW w:w="0" w:type="auto"/>
        <w:tblLook w:val="04A0" w:firstRow="1" w:lastRow="0" w:firstColumn="1" w:lastColumn="0" w:noHBand="0" w:noVBand="1"/>
      </w:tblPr>
      <w:tblGrid>
        <w:gridCol w:w="3485"/>
        <w:gridCol w:w="1742"/>
        <w:gridCol w:w="1743"/>
        <w:gridCol w:w="1743"/>
        <w:gridCol w:w="1743"/>
      </w:tblGrid>
      <w:tr w:rsidR="007144A4" w:rsidTr="00143394">
        <w:tc>
          <w:tcPr>
            <w:tcW w:w="3485" w:type="dxa"/>
            <w:shd w:val="clear" w:color="auto" w:fill="BDD6EE" w:themeFill="accent1" w:themeFillTint="66"/>
          </w:tcPr>
          <w:p w:rsidR="007144A4" w:rsidRDefault="007144A4" w:rsidP="0038326E">
            <w:pPr>
              <w:jc w:val="center"/>
              <w:rPr>
                <w:rFonts w:ascii="Arial" w:hAnsi="Arial" w:cs="Arial"/>
              </w:rPr>
            </w:pPr>
          </w:p>
        </w:tc>
        <w:tc>
          <w:tcPr>
            <w:tcW w:w="3485" w:type="dxa"/>
            <w:gridSpan w:val="2"/>
            <w:shd w:val="clear" w:color="auto" w:fill="BDD6EE" w:themeFill="accent1" w:themeFillTint="66"/>
          </w:tcPr>
          <w:p w:rsidR="007144A4" w:rsidRDefault="007144A4" w:rsidP="0038326E">
            <w:pPr>
              <w:jc w:val="center"/>
              <w:rPr>
                <w:rFonts w:ascii="Arial" w:hAnsi="Arial" w:cs="Arial"/>
              </w:rPr>
            </w:pPr>
            <w:r>
              <w:rPr>
                <w:rFonts w:ascii="Arial" w:hAnsi="Arial" w:cs="Arial"/>
              </w:rPr>
              <w:t>Percentage of pupils who achieved the Expected Standard</w:t>
            </w:r>
          </w:p>
        </w:tc>
        <w:tc>
          <w:tcPr>
            <w:tcW w:w="3486" w:type="dxa"/>
            <w:gridSpan w:val="2"/>
            <w:shd w:val="clear" w:color="auto" w:fill="BDD6EE" w:themeFill="accent1" w:themeFillTint="66"/>
          </w:tcPr>
          <w:p w:rsidR="007144A4" w:rsidRDefault="007144A4" w:rsidP="0038326E">
            <w:pPr>
              <w:jc w:val="center"/>
              <w:rPr>
                <w:rFonts w:ascii="Arial" w:hAnsi="Arial" w:cs="Arial"/>
              </w:rPr>
            </w:pPr>
            <w:r>
              <w:rPr>
                <w:rFonts w:ascii="Arial" w:hAnsi="Arial" w:cs="Arial"/>
              </w:rPr>
              <w:t>Percentage of pupils who achieved the Higher Standard</w:t>
            </w:r>
          </w:p>
        </w:tc>
      </w:tr>
      <w:tr w:rsidR="007144A4" w:rsidTr="007144A4">
        <w:tc>
          <w:tcPr>
            <w:tcW w:w="3485" w:type="dxa"/>
            <w:shd w:val="clear" w:color="auto" w:fill="BDD6EE" w:themeFill="accent1" w:themeFillTint="66"/>
          </w:tcPr>
          <w:p w:rsidR="007144A4" w:rsidRDefault="007144A4" w:rsidP="007144A4">
            <w:pPr>
              <w:jc w:val="center"/>
              <w:rPr>
                <w:rFonts w:ascii="Arial" w:hAnsi="Arial" w:cs="Arial"/>
              </w:rPr>
            </w:pPr>
          </w:p>
        </w:tc>
        <w:tc>
          <w:tcPr>
            <w:tcW w:w="1742" w:type="dxa"/>
            <w:shd w:val="clear" w:color="auto" w:fill="BDD6EE" w:themeFill="accent1" w:themeFillTint="66"/>
          </w:tcPr>
          <w:p w:rsidR="007144A4" w:rsidRDefault="007144A4" w:rsidP="007144A4">
            <w:pPr>
              <w:jc w:val="center"/>
              <w:rPr>
                <w:rFonts w:ascii="Arial" w:hAnsi="Arial" w:cs="Arial"/>
              </w:rPr>
            </w:pPr>
            <w:r>
              <w:rPr>
                <w:rFonts w:ascii="Arial" w:hAnsi="Arial" w:cs="Arial"/>
              </w:rPr>
              <w:t>School</w:t>
            </w:r>
          </w:p>
        </w:tc>
        <w:tc>
          <w:tcPr>
            <w:tcW w:w="1743" w:type="dxa"/>
            <w:shd w:val="clear" w:color="auto" w:fill="BDD6EE" w:themeFill="accent1" w:themeFillTint="66"/>
          </w:tcPr>
          <w:p w:rsidR="007144A4" w:rsidRDefault="007144A4" w:rsidP="007144A4">
            <w:pPr>
              <w:jc w:val="center"/>
              <w:rPr>
                <w:rFonts w:ascii="Arial" w:hAnsi="Arial" w:cs="Arial"/>
              </w:rPr>
            </w:pPr>
            <w:r>
              <w:rPr>
                <w:rFonts w:ascii="Arial" w:hAnsi="Arial" w:cs="Arial"/>
              </w:rPr>
              <w:t>National</w:t>
            </w:r>
          </w:p>
        </w:tc>
        <w:tc>
          <w:tcPr>
            <w:tcW w:w="1743" w:type="dxa"/>
            <w:shd w:val="clear" w:color="auto" w:fill="BDD6EE" w:themeFill="accent1" w:themeFillTint="66"/>
          </w:tcPr>
          <w:p w:rsidR="007144A4" w:rsidRDefault="007144A4" w:rsidP="007144A4">
            <w:pPr>
              <w:jc w:val="center"/>
              <w:rPr>
                <w:rFonts w:ascii="Arial" w:hAnsi="Arial" w:cs="Arial"/>
              </w:rPr>
            </w:pPr>
            <w:r>
              <w:rPr>
                <w:rFonts w:ascii="Arial" w:hAnsi="Arial" w:cs="Arial"/>
              </w:rPr>
              <w:t>School</w:t>
            </w:r>
          </w:p>
        </w:tc>
        <w:tc>
          <w:tcPr>
            <w:tcW w:w="1743" w:type="dxa"/>
            <w:shd w:val="clear" w:color="auto" w:fill="BDD6EE" w:themeFill="accent1" w:themeFillTint="66"/>
          </w:tcPr>
          <w:p w:rsidR="007144A4" w:rsidRDefault="007144A4" w:rsidP="007144A4">
            <w:pPr>
              <w:jc w:val="center"/>
              <w:rPr>
                <w:rFonts w:ascii="Arial" w:hAnsi="Arial" w:cs="Arial"/>
              </w:rPr>
            </w:pPr>
            <w:r>
              <w:rPr>
                <w:rFonts w:ascii="Arial" w:hAnsi="Arial" w:cs="Arial"/>
              </w:rPr>
              <w:t>National</w:t>
            </w:r>
          </w:p>
        </w:tc>
      </w:tr>
      <w:tr w:rsidR="007144A4" w:rsidTr="00B00C9C">
        <w:tc>
          <w:tcPr>
            <w:tcW w:w="3485" w:type="dxa"/>
            <w:shd w:val="clear" w:color="auto" w:fill="BDD6EE" w:themeFill="accent1" w:themeFillTint="66"/>
          </w:tcPr>
          <w:p w:rsidR="007144A4" w:rsidRDefault="007144A4" w:rsidP="0038326E">
            <w:pPr>
              <w:jc w:val="center"/>
              <w:rPr>
                <w:rFonts w:ascii="Arial" w:hAnsi="Arial" w:cs="Arial"/>
              </w:rPr>
            </w:pPr>
            <w:r>
              <w:rPr>
                <w:rFonts w:ascii="Arial" w:hAnsi="Arial" w:cs="Arial"/>
              </w:rPr>
              <w:t>Reading</w:t>
            </w:r>
          </w:p>
        </w:tc>
        <w:tc>
          <w:tcPr>
            <w:tcW w:w="1742" w:type="dxa"/>
            <w:shd w:val="clear" w:color="auto" w:fill="FFFFFF" w:themeFill="background1"/>
          </w:tcPr>
          <w:p w:rsidR="007144A4" w:rsidRDefault="007144A4" w:rsidP="0038326E">
            <w:pPr>
              <w:jc w:val="center"/>
              <w:rPr>
                <w:rFonts w:ascii="Arial" w:hAnsi="Arial" w:cs="Arial"/>
              </w:rPr>
            </w:pPr>
            <w:r>
              <w:rPr>
                <w:rFonts w:ascii="Arial" w:hAnsi="Arial" w:cs="Arial"/>
              </w:rPr>
              <w:t>60%</w:t>
            </w:r>
          </w:p>
        </w:tc>
        <w:tc>
          <w:tcPr>
            <w:tcW w:w="1743" w:type="dxa"/>
            <w:shd w:val="clear" w:color="auto" w:fill="FFFFFF" w:themeFill="background1"/>
          </w:tcPr>
          <w:p w:rsidR="007144A4" w:rsidRDefault="007144A4" w:rsidP="0038326E">
            <w:pPr>
              <w:jc w:val="center"/>
              <w:rPr>
                <w:rFonts w:ascii="Arial" w:hAnsi="Arial" w:cs="Arial"/>
              </w:rPr>
            </w:pPr>
            <w:r>
              <w:rPr>
                <w:rFonts w:ascii="Arial" w:hAnsi="Arial" w:cs="Arial"/>
              </w:rPr>
              <w:t>68%</w:t>
            </w:r>
          </w:p>
        </w:tc>
        <w:tc>
          <w:tcPr>
            <w:tcW w:w="1743" w:type="dxa"/>
            <w:shd w:val="clear" w:color="auto" w:fill="FFFFFF" w:themeFill="background1"/>
          </w:tcPr>
          <w:p w:rsidR="007144A4" w:rsidRDefault="007144A4" w:rsidP="0038326E">
            <w:pPr>
              <w:jc w:val="center"/>
              <w:rPr>
                <w:rFonts w:ascii="Arial" w:hAnsi="Arial" w:cs="Arial"/>
              </w:rPr>
            </w:pPr>
            <w:r>
              <w:rPr>
                <w:rFonts w:ascii="Arial" w:hAnsi="Arial" w:cs="Arial"/>
              </w:rPr>
              <w:t>3%</w:t>
            </w:r>
          </w:p>
        </w:tc>
        <w:tc>
          <w:tcPr>
            <w:tcW w:w="1743" w:type="dxa"/>
            <w:shd w:val="clear" w:color="auto" w:fill="FFFFFF" w:themeFill="background1"/>
          </w:tcPr>
          <w:p w:rsidR="007144A4" w:rsidRDefault="007144A4" w:rsidP="0038326E">
            <w:pPr>
              <w:jc w:val="center"/>
              <w:rPr>
                <w:rFonts w:ascii="Arial" w:hAnsi="Arial" w:cs="Arial"/>
              </w:rPr>
            </w:pPr>
            <w:r>
              <w:rPr>
                <w:rFonts w:ascii="Arial" w:hAnsi="Arial" w:cs="Arial"/>
              </w:rPr>
              <w:t>19%</w:t>
            </w:r>
          </w:p>
        </w:tc>
      </w:tr>
      <w:tr w:rsidR="007144A4" w:rsidTr="00B00C9C">
        <w:tc>
          <w:tcPr>
            <w:tcW w:w="3485" w:type="dxa"/>
            <w:shd w:val="clear" w:color="auto" w:fill="BDD6EE" w:themeFill="accent1" w:themeFillTint="66"/>
          </w:tcPr>
          <w:p w:rsidR="007144A4" w:rsidRDefault="007144A4" w:rsidP="0038326E">
            <w:pPr>
              <w:jc w:val="center"/>
              <w:rPr>
                <w:rFonts w:ascii="Arial" w:hAnsi="Arial" w:cs="Arial"/>
              </w:rPr>
            </w:pPr>
            <w:r>
              <w:rPr>
                <w:rFonts w:ascii="Arial" w:hAnsi="Arial" w:cs="Arial"/>
              </w:rPr>
              <w:t>Writing</w:t>
            </w:r>
          </w:p>
        </w:tc>
        <w:tc>
          <w:tcPr>
            <w:tcW w:w="1742" w:type="dxa"/>
            <w:shd w:val="clear" w:color="auto" w:fill="FFFFFF" w:themeFill="background1"/>
          </w:tcPr>
          <w:p w:rsidR="007144A4" w:rsidRDefault="007144A4" w:rsidP="0038326E">
            <w:pPr>
              <w:jc w:val="center"/>
              <w:rPr>
                <w:rFonts w:ascii="Arial" w:hAnsi="Arial" w:cs="Arial"/>
              </w:rPr>
            </w:pPr>
            <w:r>
              <w:rPr>
                <w:rFonts w:ascii="Arial" w:hAnsi="Arial" w:cs="Arial"/>
              </w:rPr>
              <w:t>43%</w:t>
            </w:r>
          </w:p>
        </w:tc>
        <w:tc>
          <w:tcPr>
            <w:tcW w:w="1743" w:type="dxa"/>
            <w:shd w:val="clear" w:color="auto" w:fill="FFFFFF" w:themeFill="background1"/>
          </w:tcPr>
          <w:p w:rsidR="007144A4" w:rsidRDefault="007144A4" w:rsidP="0038326E">
            <w:pPr>
              <w:jc w:val="center"/>
              <w:rPr>
                <w:rFonts w:ascii="Arial" w:hAnsi="Arial" w:cs="Arial"/>
              </w:rPr>
            </w:pPr>
            <w:r>
              <w:rPr>
                <w:rFonts w:ascii="Arial" w:hAnsi="Arial" w:cs="Arial"/>
              </w:rPr>
              <w:t>60%</w:t>
            </w:r>
          </w:p>
        </w:tc>
        <w:tc>
          <w:tcPr>
            <w:tcW w:w="1743" w:type="dxa"/>
            <w:shd w:val="clear" w:color="auto" w:fill="FFFFFF" w:themeFill="background1"/>
          </w:tcPr>
          <w:p w:rsidR="007144A4" w:rsidRDefault="007144A4" w:rsidP="0038326E">
            <w:pPr>
              <w:jc w:val="center"/>
              <w:rPr>
                <w:rFonts w:ascii="Arial" w:hAnsi="Arial" w:cs="Arial"/>
              </w:rPr>
            </w:pPr>
            <w:r>
              <w:rPr>
                <w:rFonts w:ascii="Arial" w:hAnsi="Arial" w:cs="Arial"/>
              </w:rPr>
              <w:t>3%</w:t>
            </w:r>
          </w:p>
        </w:tc>
        <w:tc>
          <w:tcPr>
            <w:tcW w:w="1743" w:type="dxa"/>
            <w:shd w:val="clear" w:color="auto" w:fill="FFFFFF" w:themeFill="background1"/>
          </w:tcPr>
          <w:p w:rsidR="007144A4" w:rsidRDefault="007144A4" w:rsidP="0038326E">
            <w:pPr>
              <w:jc w:val="center"/>
              <w:rPr>
                <w:rFonts w:ascii="Arial" w:hAnsi="Arial" w:cs="Arial"/>
              </w:rPr>
            </w:pPr>
            <w:r>
              <w:rPr>
                <w:rFonts w:ascii="Arial" w:hAnsi="Arial" w:cs="Arial"/>
              </w:rPr>
              <w:t>8%</w:t>
            </w:r>
          </w:p>
        </w:tc>
      </w:tr>
      <w:tr w:rsidR="007144A4" w:rsidTr="00B00C9C">
        <w:tc>
          <w:tcPr>
            <w:tcW w:w="3485" w:type="dxa"/>
            <w:shd w:val="clear" w:color="auto" w:fill="BDD6EE" w:themeFill="accent1" w:themeFillTint="66"/>
          </w:tcPr>
          <w:p w:rsidR="007144A4" w:rsidRDefault="007144A4" w:rsidP="0038326E">
            <w:pPr>
              <w:jc w:val="center"/>
              <w:rPr>
                <w:rFonts w:ascii="Arial" w:hAnsi="Arial" w:cs="Arial"/>
              </w:rPr>
            </w:pPr>
            <w:r>
              <w:rPr>
                <w:rFonts w:ascii="Arial" w:hAnsi="Arial" w:cs="Arial"/>
              </w:rPr>
              <w:t>Mathematics</w:t>
            </w:r>
          </w:p>
        </w:tc>
        <w:tc>
          <w:tcPr>
            <w:tcW w:w="1742" w:type="dxa"/>
            <w:shd w:val="clear" w:color="auto" w:fill="FFFFFF" w:themeFill="background1"/>
          </w:tcPr>
          <w:p w:rsidR="007144A4" w:rsidRDefault="007144A4" w:rsidP="0038326E">
            <w:pPr>
              <w:jc w:val="center"/>
              <w:rPr>
                <w:rFonts w:ascii="Arial" w:hAnsi="Arial" w:cs="Arial"/>
              </w:rPr>
            </w:pPr>
            <w:r>
              <w:rPr>
                <w:rFonts w:ascii="Arial" w:hAnsi="Arial" w:cs="Arial"/>
              </w:rPr>
              <w:t>50%</w:t>
            </w:r>
          </w:p>
        </w:tc>
        <w:tc>
          <w:tcPr>
            <w:tcW w:w="1743" w:type="dxa"/>
            <w:shd w:val="clear" w:color="auto" w:fill="FFFFFF" w:themeFill="background1"/>
          </w:tcPr>
          <w:p w:rsidR="007144A4" w:rsidRDefault="007144A4" w:rsidP="0038326E">
            <w:pPr>
              <w:jc w:val="center"/>
              <w:rPr>
                <w:rFonts w:ascii="Arial" w:hAnsi="Arial" w:cs="Arial"/>
              </w:rPr>
            </w:pPr>
            <w:r>
              <w:rPr>
                <w:rFonts w:ascii="Arial" w:hAnsi="Arial" w:cs="Arial"/>
              </w:rPr>
              <w:t>70%</w:t>
            </w:r>
          </w:p>
        </w:tc>
        <w:tc>
          <w:tcPr>
            <w:tcW w:w="1743" w:type="dxa"/>
            <w:shd w:val="clear" w:color="auto" w:fill="FFFFFF" w:themeFill="background1"/>
          </w:tcPr>
          <w:p w:rsidR="007144A4" w:rsidRDefault="007144A4" w:rsidP="0038326E">
            <w:pPr>
              <w:jc w:val="center"/>
              <w:rPr>
                <w:rFonts w:ascii="Arial" w:hAnsi="Arial" w:cs="Arial"/>
              </w:rPr>
            </w:pPr>
            <w:r>
              <w:rPr>
                <w:rFonts w:ascii="Arial" w:hAnsi="Arial" w:cs="Arial"/>
              </w:rPr>
              <w:t>7%</w:t>
            </w:r>
          </w:p>
        </w:tc>
        <w:tc>
          <w:tcPr>
            <w:tcW w:w="1743" w:type="dxa"/>
            <w:shd w:val="clear" w:color="auto" w:fill="FFFFFF" w:themeFill="background1"/>
          </w:tcPr>
          <w:p w:rsidR="007144A4" w:rsidRDefault="007144A4" w:rsidP="0038326E">
            <w:pPr>
              <w:jc w:val="center"/>
              <w:rPr>
                <w:rFonts w:ascii="Arial" w:hAnsi="Arial" w:cs="Arial"/>
              </w:rPr>
            </w:pPr>
            <w:r>
              <w:rPr>
                <w:rFonts w:ascii="Arial" w:hAnsi="Arial" w:cs="Arial"/>
              </w:rPr>
              <w:t>16%</w:t>
            </w:r>
          </w:p>
        </w:tc>
      </w:tr>
    </w:tbl>
    <w:p w:rsidR="00DB4C49" w:rsidRDefault="00DB4C49" w:rsidP="00DB4C49">
      <w:pPr>
        <w:rPr>
          <w:rFonts w:ascii="Arial" w:hAnsi="Arial" w:cs="Arial"/>
        </w:rPr>
      </w:pPr>
    </w:p>
    <w:p w:rsidR="00143394" w:rsidRDefault="00143394" w:rsidP="00143394">
      <w:pPr>
        <w:rPr>
          <w:rFonts w:ascii="Arial" w:hAnsi="Arial" w:cs="Arial"/>
          <w:b/>
          <w:color w:val="0070C0"/>
        </w:rPr>
      </w:pPr>
      <w:r>
        <w:rPr>
          <w:rFonts w:ascii="Arial" w:hAnsi="Arial" w:cs="Arial"/>
          <w:b/>
          <w:color w:val="0070C0"/>
        </w:rPr>
        <w:t>2023 End of Key Stage 2</w:t>
      </w:r>
      <w:r w:rsidRPr="00143394">
        <w:rPr>
          <w:rFonts w:ascii="Arial" w:hAnsi="Arial" w:cs="Arial"/>
          <w:b/>
          <w:color w:val="0070C0"/>
        </w:rPr>
        <w:t xml:space="preserve"> Assessments</w:t>
      </w:r>
    </w:p>
    <w:p w:rsidR="00143394" w:rsidRDefault="00143394" w:rsidP="0044260B">
      <w:pPr>
        <w:jc w:val="both"/>
        <w:rPr>
          <w:rFonts w:ascii="Arial" w:hAnsi="Arial" w:cs="Arial"/>
        </w:rPr>
      </w:pPr>
      <w:r>
        <w:rPr>
          <w:rFonts w:ascii="Arial" w:hAnsi="Arial" w:cs="Arial"/>
        </w:rPr>
        <w:t>During a week in May 2023, Y6 pupils sat tests for maths, reading and Grammar, Punctuation and Spelling, which assessed each child against the national standard</w:t>
      </w:r>
      <w:r w:rsidR="0044260B">
        <w:rPr>
          <w:rFonts w:ascii="Arial" w:hAnsi="Arial" w:cs="Arial"/>
        </w:rPr>
        <w:t xml:space="preserve"> (a scaled score of 100)</w:t>
      </w:r>
      <w:r>
        <w:rPr>
          <w:rFonts w:ascii="Arial" w:hAnsi="Arial" w:cs="Arial"/>
        </w:rPr>
        <w:t>. In Key Stage 2, the papers were marked externally. Performance in Writing was judged solely by teacher assessment. Here is a summary of our Y6 results for the 2023 tests; a score of 110+ indicates that a child is working at a higher standard than the national expectation.</w:t>
      </w:r>
    </w:p>
    <w:p w:rsidR="00143394" w:rsidRPr="00143394" w:rsidRDefault="00143394" w:rsidP="00143394">
      <w:pPr>
        <w:rPr>
          <w:rFonts w:ascii="Arial" w:hAnsi="Arial" w:cs="Arial"/>
          <w:b/>
          <w:color w:val="0070C0"/>
        </w:rPr>
      </w:pPr>
      <w:r w:rsidRPr="00143394">
        <w:rPr>
          <w:rFonts w:ascii="Arial" w:hAnsi="Arial" w:cs="Arial"/>
          <w:b/>
          <w:color w:val="0070C0"/>
        </w:rPr>
        <w:t>Reading:</w:t>
      </w:r>
    </w:p>
    <w:tbl>
      <w:tblPr>
        <w:tblStyle w:val="TableGrid"/>
        <w:tblW w:w="0" w:type="auto"/>
        <w:tblLook w:val="04A0" w:firstRow="1" w:lastRow="0" w:firstColumn="1" w:lastColumn="0" w:noHBand="0" w:noVBand="1"/>
      </w:tblPr>
      <w:tblGrid>
        <w:gridCol w:w="4673"/>
        <w:gridCol w:w="2891"/>
        <w:gridCol w:w="2892"/>
      </w:tblGrid>
      <w:tr w:rsidR="00143394" w:rsidTr="00516916">
        <w:tc>
          <w:tcPr>
            <w:tcW w:w="4673" w:type="dxa"/>
          </w:tcPr>
          <w:p w:rsidR="00143394" w:rsidRDefault="00143394" w:rsidP="00143394">
            <w:pPr>
              <w:rPr>
                <w:rFonts w:ascii="Arial" w:hAnsi="Arial" w:cs="Arial"/>
              </w:rPr>
            </w:pPr>
          </w:p>
        </w:tc>
        <w:tc>
          <w:tcPr>
            <w:tcW w:w="2891" w:type="dxa"/>
            <w:shd w:val="clear" w:color="auto" w:fill="BDD6EE" w:themeFill="accent1" w:themeFillTint="66"/>
          </w:tcPr>
          <w:p w:rsidR="00143394" w:rsidRDefault="00143394" w:rsidP="00143394">
            <w:pPr>
              <w:jc w:val="center"/>
              <w:rPr>
                <w:rFonts w:ascii="Arial" w:hAnsi="Arial" w:cs="Arial"/>
              </w:rPr>
            </w:pPr>
            <w:r>
              <w:rPr>
                <w:rFonts w:ascii="Arial" w:hAnsi="Arial" w:cs="Arial"/>
              </w:rPr>
              <w:t>School</w:t>
            </w:r>
          </w:p>
        </w:tc>
        <w:tc>
          <w:tcPr>
            <w:tcW w:w="2892" w:type="dxa"/>
            <w:shd w:val="clear" w:color="auto" w:fill="BDD6EE" w:themeFill="accent1" w:themeFillTint="66"/>
          </w:tcPr>
          <w:p w:rsidR="00143394" w:rsidRDefault="00143394" w:rsidP="00143394">
            <w:pPr>
              <w:jc w:val="center"/>
              <w:rPr>
                <w:rFonts w:ascii="Arial" w:hAnsi="Arial" w:cs="Arial"/>
              </w:rPr>
            </w:pPr>
            <w:r>
              <w:rPr>
                <w:rFonts w:ascii="Arial" w:hAnsi="Arial" w:cs="Arial"/>
              </w:rPr>
              <w:t>National Average</w:t>
            </w:r>
          </w:p>
        </w:tc>
      </w:tr>
      <w:tr w:rsidR="00143394" w:rsidTr="00143394">
        <w:tc>
          <w:tcPr>
            <w:tcW w:w="4673" w:type="dxa"/>
            <w:shd w:val="clear" w:color="auto" w:fill="BDD6EE" w:themeFill="accent1" w:themeFillTint="66"/>
          </w:tcPr>
          <w:p w:rsidR="00143394" w:rsidRDefault="00143394" w:rsidP="00DB4C49">
            <w:pPr>
              <w:rPr>
                <w:rFonts w:ascii="Arial" w:hAnsi="Arial" w:cs="Arial"/>
              </w:rPr>
            </w:pPr>
            <w:r>
              <w:rPr>
                <w:rFonts w:ascii="Arial" w:hAnsi="Arial" w:cs="Arial"/>
              </w:rPr>
              <w:t>Percentage of pupils who achieved the Expected Standard</w:t>
            </w:r>
          </w:p>
        </w:tc>
        <w:tc>
          <w:tcPr>
            <w:tcW w:w="2891" w:type="dxa"/>
          </w:tcPr>
          <w:p w:rsidR="00143394" w:rsidRDefault="007144A4" w:rsidP="007144A4">
            <w:pPr>
              <w:jc w:val="center"/>
              <w:rPr>
                <w:rFonts w:ascii="Arial" w:hAnsi="Arial" w:cs="Arial"/>
              </w:rPr>
            </w:pPr>
            <w:r>
              <w:rPr>
                <w:rFonts w:ascii="Arial" w:hAnsi="Arial" w:cs="Arial"/>
              </w:rPr>
              <w:t>60%</w:t>
            </w:r>
          </w:p>
        </w:tc>
        <w:tc>
          <w:tcPr>
            <w:tcW w:w="2892" w:type="dxa"/>
          </w:tcPr>
          <w:p w:rsidR="00143394" w:rsidRDefault="007144A4" w:rsidP="007144A4">
            <w:pPr>
              <w:jc w:val="center"/>
              <w:rPr>
                <w:rFonts w:ascii="Arial" w:hAnsi="Arial" w:cs="Arial"/>
              </w:rPr>
            </w:pPr>
            <w:r>
              <w:rPr>
                <w:rFonts w:ascii="Arial" w:hAnsi="Arial" w:cs="Arial"/>
              </w:rPr>
              <w:t>73%</w:t>
            </w:r>
          </w:p>
        </w:tc>
      </w:tr>
      <w:tr w:rsidR="00143394" w:rsidTr="00143394">
        <w:tc>
          <w:tcPr>
            <w:tcW w:w="4673" w:type="dxa"/>
            <w:shd w:val="clear" w:color="auto" w:fill="BDD6EE" w:themeFill="accent1" w:themeFillTint="66"/>
          </w:tcPr>
          <w:p w:rsidR="00143394" w:rsidRDefault="00143394" w:rsidP="00DB4C49">
            <w:pPr>
              <w:rPr>
                <w:rFonts w:ascii="Arial" w:hAnsi="Arial" w:cs="Arial"/>
              </w:rPr>
            </w:pPr>
            <w:r>
              <w:rPr>
                <w:rFonts w:ascii="Arial" w:hAnsi="Arial" w:cs="Arial"/>
              </w:rPr>
              <w:t>Percentage of pupils who achieved the Higher Standard</w:t>
            </w:r>
          </w:p>
        </w:tc>
        <w:tc>
          <w:tcPr>
            <w:tcW w:w="2891" w:type="dxa"/>
          </w:tcPr>
          <w:p w:rsidR="00143394" w:rsidRDefault="007144A4" w:rsidP="007144A4">
            <w:pPr>
              <w:jc w:val="center"/>
              <w:rPr>
                <w:rFonts w:ascii="Arial" w:hAnsi="Arial" w:cs="Arial"/>
              </w:rPr>
            </w:pPr>
            <w:r>
              <w:rPr>
                <w:rFonts w:ascii="Arial" w:hAnsi="Arial" w:cs="Arial"/>
              </w:rPr>
              <w:t>13%</w:t>
            </w:r>
          </w:p>
        </w:tc>
        <w:tc>
          <w:tcPr>
            <w:tcW w:w="2892" w:type="dxa"/>
          </w:tcPr>
          <w:p w:rsidR="00143394" w:rsidRDefault="007144A4" w:rsidP="007144A4">
            <w:pPr>
              <w:jc w:val="center"/>
              <w:rPr>
                <w:rFonts w:ascii="Arial" w:hAnsi="Arial" w:cs="Arial"/>
              </w:rPr>
            </w:pPr>
            <w:r>
              <w:rPr>
                <w:rFonts w:ascii="Arial" w:hAnsi="Arial" w:cs="Arial"/>
              </w:rPr>
              <w:t>29%</w:t>
            </w:r>
          </w:p>
        </w:tc>
      </w:tr>
      <w:tr w:rsidR="00143394" w:rsidTr="00143394">
        <w:tc>
          <w:tcPr>
            <w:tcW w:w="4673" w:type="dxa"/>
            <w:shd w:val="clear" w:color="auto" w:fill="BDD6EE" w:themeFill="accent1" w:themeFillTint="66"/>
          </w:tcPr>
          <w:p w:rsidR="00143394" w:rsidRDefault="00143394" w:rsidP="00DB4C49">
            <w:pPr>
              <w:rPr>
                <w:rFonts w:ascii="Arial" w:hAnsi="Arial" w:cs="Arial"/>
              </w:rPr>
            </w:pPr>
            <w:r>
              <w:rPr>
                <w:rFonts w:ascii="Arial" w:hAnsi="Arial" w:cs="Arial"/>
              </w:rPr>
              <w:t>Average Progress</w:t>
            </w:r>
          </w:p>
        </w:tc>
        <w:tc>
          <w:tcPr>
            <w:tcW w:w="2891" w:type="dxa"/>
          </w:tcPr>
          <w:p w:rsidR="00143394" w:rsidRDefault="007144A4" w:rsidP="007144A4">
            <w:pPr>
              <w:jc w:val="center"/>
              <w:rPr>
                <w:rFonts w:ascii="Arial" w:hAnsi="Arial" w:cs="Arial"/>
              </w:rPr>
            </w:pPr>
            <w:r>
              <w:rPr>
                <w:rFonts w:ascii="Arial" w:hAnsi="Arial" w:cs="Arial"/>
              </w:rPr>
              <w:t>0.7</w:t>
            </w:r>
          </w:p>
        </w:tc>
        <w:tc>
          <w:tcPr>
            <w:tcW w:w="2892" w:type="dxa"/>
          </w:tcPr>
          <w:p w:rsidR="00143394" w:rsidRDefault="0044260B" w:rsidP="007144A4">
            <w:pPr>
              <w:jc w:val="center"/>
              <w:rPr>
                <w:rFonts w:ascii="Arial" w:hAnsi="Arial" w:cs="Arial"/>
              </w:rPr>
            </w:pPr>
            <w:r>
              <w:rPr>
                <w:rFonts w:ascii="Arial" w:hAnsi="Arial" w:cs="Arial"/>
              </w:rPr>
              <w:t>-</w:t>
            </w:r>
          </w:p>
        </w:tc>
      </w:tr>
      <w:tr w:rsidR="00143394" w:rsidTr="00143394">
        <w:tc>
          <w:tcPr>
            <w:tcW w:w="4673" w:type="dxa"/>
            <w:shd w:val="clear" w:color="auto" w:fill="BDD6EE" w:themeFill="accent1" w:themeFillTint="66"/>
          </w:tcPr>
          <w:p w:rsidR="00143394" w:rsidRDefault="00143394" w:rsidP="00DB4C49">
            <w:pPr>
              <w:rPr>
                <w:rFonts w:ascii="Arial" w:hAnsi="Arial" w:cs="Arial"/>
              </w:rPr>
            </w:pPr>
            <w:r>
              <w:rPr>
                <w:rFonts w:ascii="Arial" w:hAnsi="Arial" w:cs="Arial"/>
              </w:rPr>
              <w:lastRenderedPageBreak/>
              <w:t>Average Scaled Score</w:t>
            </w:r>
          </w:p>
        </w:tc>
        <w:tc>
          <w:tcPr>
            <w:tcW w:w="2891" w:type="dxa"/>
          </w:tcPr>
          <w:p w:rsidR="00143394" w:rsidRDefault="007144A4" w:rsidP="007144A4">
            <w:pPr>
              <w:jc w:val="center"/>
              <w:rPr>
                <w:rFonts w:ascii="Arial" w:hAnsi="Arial" w:cs="Arial"/>
              </w:rPr>
            </w:pPr>
            <w:r>
              <w:rPr>
                <w:rFonts w:ascii="Arial" w:hAnsi="Arial" w:cs="Arial"/>
              </w:rPr>
              <w:t>102.4</w:t>
            </w:r>
          </w:p>
        </w:tc>
        <w:tc>
          <w:tcPr>
            <w:tcW w:w="2892" w:type="dxa"/>
          </w:tcPr>
          <w:p w:rsidR="00143394" w:rsidRDefault="0044260B" w:rsidP="007144A4">
            <w:pPr>
              <w:jc w:val="center"/>
              <w:rPr>
                <w:rFonts w:ascii="Arial" w:hAnsi="Arial" w:cs="Arial"/>
              </w:rPr>
            </w:pPr>
            <w:r>
              <w:rPr>
                <w:rFonts w:ascii="Arial" w:hAnsi="Arial" w:cs="Arial"/>
              </w:rPr>
              <w:t>105.1</w:t>
            </w:r>
          </w:p>
        </w:tc>
      </w:tr>
    </w:tbl>
    <w:p w:rsidR="00143394" w:rsidRDefault="00143394" w:rsidP="00DB4C49">
      <w:pPr>
        <w:rPr>
          <w:rFonts w:ascii="Arial" w:hAnsi="Arial" w:cs="Arial"/>
        </w:rPr>
      </w:pPr>
    </w:p>
    <w:p w:rsidR="00143394" w:rsidRDefault="00143394" w:rsidP="00DB4C49">
      <w:pPr>
        <w:rPr>
          <w:rFonts w:ascii="Arial" w:hAnsi="Arial" w:cs="Arial"/>
          <w:b/>
          <w:color w:val="0070C0"/>
        </w:rPr>
      </w:pPr>
      <w:r w:rsidRPr="00143394">
        <w:rPr>
          <w:rFonts w:ascii="Arial" w:hAnsi="Arial" w:cs="Arial"/>
          <w:b/>
          <w:color w:val="0070C0"/>
        </w:rPr>
        <w:t>Writing (Teacher Assessment):</w:t>
      </w:r>
    </w:p>
    <w:tbl>
      <w:tblPr>
        <w:tblStyle w:val="TableGrid"/>
        <w:tblW w:w="0" w:type="auto"/>
        <w:tblLook w:val="04A0" w:firstRow="1" w:lastRow="0" w:firstColumn="1" w:lastColumn="0" w:noHBand="0" w:noVBand="1"/>
      </w:tblPr>
      <w:tblGrid>
        <w:gridCol w:w="4673"/>
        <w:gridCol w:w="2891"/>
        <w:gridCol w:w="2892"/>
      </w:tblGrid>
      <w:tr w:rsidR="00143394" w:rsidTr="007D3A79">
        <w:tc>
          <w:tcPr>
            <w:tcW w:w="4673" w:type="dxa"/>
          </w:tcPr>
          <w:p w:rsidR="00143394" w:rsidRDefault="00143394" w:rsidP="00143394">
            <w:pPr>
              <w:rPr>
                <w:rFonts w:ascii="Arial" w:hAnsi="Arial" w:cs="Arial"/>
              </w:rPr>
            </w:pPr>
          </w:p>
        </w:tc>
        <w:tc>
          <w:tcPr>
            <w:tcW w:w="2891" w:type="dxa"/>
            <w:shd w:val="clear" w:color="auto" w:fill="BDD6EE" w:themeFill="accent1" w:themeFillTint="66"/>
          </w:tcPr>
          <w:p w:rsidR="00143394" w:rsidRDefault="00143394" w:rsidP="00143394">
            <w:pPr>
              <w:jc w:val="center"/>
              <w:rPr>
                <w:rFonts w:ascii="Arial" w:hAnsi="Arial" w:cs="Arial"/>
              </w:rPr>
            </w:pPr>
            <w:r>
              <w:rPr>
                <w:rFonts w:ascii="Arial" w:hAnsi="Arial" w:cs="Arial"/>
              </w:rPr>
              <w:t>School</w:t>
            </w:r>
          </w:p>
        </w:tc>
        <w:tc>
          <w:tcPr>
            <w:tcW w:w="2892" w:type="dxa"/>
            <w:shd w:val="clear" w:color="auto" w:fill="BDD6EE" w:themeFill="accent1" w:themeFillTint="66"/>
          </w:tcPr>
          <w:p w:rsidR="00143394" w:rsidRDefault="00143394" w:rsidP="00143394">
            <w:pPr>
              <w:jc w:val="center"/>
              <w:rPr>
                <w:rFonts w:ascii="Arial" w:hAnsi="Arial" w:cs="Arial"/>
              </w:rPr>
            </w:pPr>
            <w:r>
              <w:rPr>
                <w:rFonts w:ascii="Arial" w:hAnsi="Arial" w:cs="Arial"/>
              </w:rPr>
              <w:t>National Average</w:t>
            </w:r>
          </w:p>
        </w:tc>
      </w:tr>
      <w:tr w:rsidR="00143394" w:rsidTr="00143394">
        <w:tc>
          <w:tcPr>
            <w:tcW w:w="4673" w:type="dxa"/>
            <w:shd w:val="clear" w:color="auto" w:fill="BDD6EE" w:themeFill="accent1" w:themeFillTint="66"/>
          </w:tcPr>
          <w:p w:rsidR="00143394" w:rsidRDefault="00143394" w:rsidP="0038326E">
            <w:pPr>
              <w:rPr>
                <w:rFonts w:ascii="Arial" w:hAnsi="Arial" w:cs="Arial"/>
              </w:rPr>
            </w:pPr>
            <w:r>
              <w:rPr>
                <w:rFonts w:ascii="Arial" w:hAnsi="Arial" w:cs="Arial"/>
              </w:rPr>
              <w:t>Percentage of pupils who achieved the Expected Standard</w:t>
            </w:r>
          </w:p>
        </w:tc>
        <w:tc>
          <w:tcPr>
            <w:tcW w:w="2891" w:type="dxa"/>
          </w:tcPr>
          <w:p w:rsidR="00143394" w:rsidRDefault="007144A4" w:rsidP="007144A4">
            <w:pPr>
              <w:jc w:val="center"/>
              <w:rPr>
                <w:rFonts w:ascii="Arial" w:hAnsi="Arial" w:cs="Arial"/>
              </w:rPr>
            </w:pPr>
            <w:r>
              <w:rPr>
                <w:rFonts w:ascii="Arial" w:hAnsi="Arial" w:cs="Arial"/>
              </w:rPr>
              <w:t>80%</w:t>
            </w:r>
          </w:p>
        </w:tc>
        <w:tc>
          <w:tcPr>
            <w:tcW w:w="2892" w:type="dxa"/>
          </w:tcPr>
          <w:p w:rsidR="00143394" w:rsidRDefault="007144A4" w:rsidP="007144A4">
            <w:pPr>
              <w:jc w:val="center"/>
              <w:rPr>
                <w:rFonts w:ascii="Arial" w:hAnsi="Arial" w:cs="Arial"/>
              </w:rPr>
            </w:pPr>
            <w:r>
              <w:rPr>
                <w:rFonts w:ascii="Arial" w:hAnsi="Arial" w:cs="Arial"/>
              </w:rPr>
              <w:t>71%</w:t>
            </w:r>
          </w:p>
        </w:tc>
      </w:tr>
      <w:tr w:rsidR="00143394" w:rsidTr="00143394">
        <w:tc>
          <w:tcPr>
            <w:tcW w:w="4673" w:type="dxa"/>
            <w:shd w:val="clear" w:color="auto" w:fill="BDD6EE" w:themeFill="accent1" w:themeFillTint="66"/>
          </w:tcPr>
          <w:p w:rsidR="00143394" w:rsidRDefault="00143394" w:rsidP="0038326E">
            <w:pPr>
              <w:rPr>
                <w:rFonts w:ascii="Arial" w:hAnsi="Arial" w:cs="Arial"/>
              </w:rPr>
            </w:pPr>
            <w:r>
              <w:rPr>
                <w:rFonts w:ascii="Arial" w:hAnsi="Arial" w:cs="Arial"/>
              </w:rPr>
              <w:t>Percentage of pupils who achieved the Higher Standard</w:t>
            </w:r>
          </w:p>
        </w:tc>
        <w:tc>
          <w:tcPr>
            <w:tcW w:w="2891" w:type="dxa"/>
          </w:tcPr>
          <w:p w:rsidR="00143394" w:rsidRDefault="007144A4" w:rsidP="007144A4">
            <w:pPr>
              <w:jc w:val="center"/>
              <w:rPr>
                <w:rFonts w:ascii="Arial" w:hAnsi="Arial" w:cs="Arial"/>
              </w:rPr>
            </w:pPr>
            <w:r>
              <w:rPr>
                <w:rFonts w:ascii="Arial" w:hAnsi="Arial" w:cs="Arial"/>
              </w:rPr>
              <w:t>17%</w:t>
            </w:r>
          </w:p>
        </w:tc>
        <w:tc>
          <w:tcPr>
            <w:tcW w:w="2892" w:type="dxa"/>
          </w:tcPr>
          <w:p w:rsidR="00143394" w:rsidRDefault="007144A4" w:rsidP="007144A4">
            <w:pPr>
              <w:jc w:val="center"/>
              <w:rPr>
                <w:rFonts w:ascii="Arial" w:hAnsi="Arial" w:cs="Arial"/>
              </w:rPr>
            </w:pPr>
            <w:r>
              <w:rPr>
                <w:rFonts w:ascii="Arial" w:hAnsi="Arial" w:cs="Arial"/>
              </w:rPr>
              <w:t>13%</w:t>
            </w:r>
          </w:p>
        </w:tc>
      </w:tr>
      <w:tr w:rsidR="00143394" w:rsidTr="00143394">
        <w:tc>
          <w:tcPr>
            <w:tcW w:w="4673" w:type="dxa"/>
            <w:shd w:val="clear" w:color="auto" w:fill="BDD6EE" w:themeFill="accent1" w:themeFillTint="66"/>
          </w:tcPr>
          <w:p w:rsidR="00143394" w:rsidRDefault="00143394" w:rsidP="0038326E">
            <w:pPr>
              <w:rPr>
                <w:rFonts w:ascii="Arial" w:hAnsi="Arial" w:cs="Arial"/>
              </w:rPr>
            </w:pPr>
            <w:r>
              <w:rPr>
                <w:rFonts w:ascii="Arial" w:hAnsi="Arial" w:cs="Arial"/>
              </w:rPr>
              <w:t>Average Progress</w:t>
            </w:r>
          </w:p>
        </w:tc>
        <w:tc>
          <w:tcPr>
            <w:tcW w:w="2891" w:type="dxa"/>
          </w:tcPr>
          <w:p w:rsidR="00143394" w:rsidRDefault="007144A4" w:rsidP="007144A4">
            <w:pPr>
              <w:jc w:val="center"/>
              <w:rPr>
                <w:rFonts w:ascii="Arial" w:hAnsi="Arial" w:cs="Arial"/>
              </w:rPr>
            </w:pPr>
            <w:r>
              <w:rPr>
                <w:rFonts w:ascii="Arial" w:hAnsi="Arial" w:cs="Arial"/>
              </w:rPr>
              <w:t>3.2</w:t>
            </w:r>
          </w:p>
        </w:tc>
        <w:tc>
          <w:tcPr>
            <w:tcW w:w="2892" w:type="dxa"/>
          </w:tcPr>
          <w:p w:rsidR="00143394" w:rsidRDefault="007144A4" w:rsidP="007144A4">
            <w:pPr>
              <w:jc w:val="center"/>
              <w:rPr>
                <w:rFonts w:ascii="Arial" w:hAnsi="Arial" w:cs="Arial"/>
              </w:rPr>
            </w:pPr>
            <w:r>
              <w:rPr>
                <w:rFonts w:ascii="Arial" w:hAnsi="Arial" w:cs="Arial"/>
              </w:rPr>
              <w:t>-</w:t>
            </w:r>
          </w:p>
        </w:tc>
      </w:tr>
      <w:tr w:rsidR="00143394" w:rsidTr="00143394">
        <w:tc>
          <w:tcPr>
            <w:tcW w:w="4673" w:type="dxa"/>
            <w:shd w:val="clear" w:color="auto" w:fill="BDD6EE" w:themeFill="accent1" w:themeFillTint="66"/>
          </w:tcPr>
          <w:p w:rsidR="00143394" w:rsidRDefault="00143394" w:rsidP="0038326E">
            <w:pPr>
              <w:rPr>
                <w:rFonts w:ascii="Arial" w:hAnsi="Arial" w:cs="Arial"/>
              </w:rPr>
            </w:pPr>
            <w:r>
              <w:rPr>
                <w:rFonts w:ascii="Arial" w:hAnsi="Arial" w:cs="Arial"/>
              </w:rPr>
              <w:t>Average Scaled Score</w:t>
            </w:r>
          </w:p>
        </w:tc>
        <w:tc>
          <w:tcPr>
            <w:tcW w:w="2891" w:type="dxa"/>
          </w:tcPr>
          <w:p w:rsidR="00143394" w:rsidRDefault="007144A4" w:rsidP="007144A4">
            <w:pPr>
              <w:jc w:val="center"/>
              <w:rPr>
                <w:rFonts w:ascii="Arial" w:hAnsi="Arial" w:cs="Arial"/>
              </w:rPr>
            </w:pPr>
            <w:r>
              <w:rPr>
                <w:rFonts w:ascii="Arial" w:hAnsi="Arial" w:cs="Arial"/>
              </w:rPr>
              <w:t>-</w:t>
            </w:r>
          </w:p>
        </w:tc>
        <w:tc>
          <w:tcPr>
            <w:tcW w:w="2892" w:type="dxa"/>
          </w:tcPr>
          <w:p w:rsidR="00143394" w:rsidRDefault="007144A4" w:rsidP="007144A4">
            <w:pPr>
              <w:jc w:val="center"/>
              <w:rPr>
                <w:rFonts w:ascii="Arial" w:hAnsi="Arial" w:cs="Arial"/>
              </w:rPr>
            </w:pPr>
            <w:r>
              <w:rPr>
                <w:rFonts w:ascii="Arial" w:hAnsi="Arial" w:cs="Arial"/>
              </w:rPr>
              <w:t>-</w:t>
            </w:r>
          </w:p>
        </w:tc>
      </w:tr>
    </w:tbl>
    <w:p w:rsidR="00143394" w:rsidRDefault="00143394" w:rsidP="00DB4C49">
      <w:pPr>
        <w:rPr>
          <w:rFonts w:ascii="Arial" w:hAnsi="Arial" w:cs="Arial"/>
          <w:b/>
          <w:color w:val="0070C0"/>
        </w:rPr>
      </w:pPr>
    </w:p>
    <w:p w:rsidR="00143394" w:rsidRDefault="00143394" w:rsidP="00DB4C49">
      <w:pPr>
        <w:rPr>
          <w:rFonts w:ascii="Arial" w:hAnsi="Arial" w:cs="Arial"/>
          <w:b/>
          <w:color w:val="0070C0"/>
        </w:rPr>
      </w:pPr>
      <w:r>
        <w:rPr>
          <w:rFonts w:ascii="Arial" w:hAnsi="Arial" w:cs="Arial"/>
          <w:b/>
          <w:color w:val="0070C0"/>
        </w:rPr>
        <w:t>Grammar, Punctuation &amp; Spelling</w:t>
      </w:r>
    </w:p>
    <w:tbl>
      <w:tblPr>
        <w:tblStyle w:val="TableGrid"/>
        <w:tblW w:w="0" w:type="auto"/>
        <w:tblLook w:val="04A0" w:firstRow="1" w:lastRow="0" w:firstColumn="1" w:lastColumn="0" w:noHBand="0" w:noVBand="1"/>
      </w:tblPr>
      <w:tblGrid>
        <w:gridCol w:w="4673"/>
        <w:gridCol w:w="2891"/>
        <w:gridCol w:w="2892"/>
      </w:tblGrid>
      <w:tr w:rsidR="00143394" w:rsidTr="004C1FC0">
        <w:tc>
          <w:tcPr>
            <w:tcW w:w="4673" w:type="dxa"/>
          </w:tcPr>
          <w:p w:rsidR="00143394" w:rsidRDefault="00143394" w:rsidP="00143394">
            <w:pPr>
              <w:rPr>
                <w:rFonts w:ascii="Arial" w:hAnsi="Arial" w:cs="Arial"/>
              </w:rPr>
            </w:pPr>
          </w:p>
        </w:tc>
        <w:tc>
          <w:tcPr>
            <w:tcW w:w="2891" w:type="dxa"/>
            <w:shd w:val="clear" w:color="auto" w:fill="BDD6EE" w:themeFill="accent1" w:themeFillTint="66"/>
          </w:tcPr>
          <w:p w:rsidR="00143394" w:rsidRDefault="00143394" w:rsidP="00143394">
            <w:pPr>
              <w:jc w:val="center"/>
              <w:rPr>
                <w:rFonts w:ascii="Arial" w:hAnsi="Arial" w:cs="Arial"/>
              </w:rPr>
            </w:pPr>
            <w:r>
              <w:rPr>
                <w:rFonts w:ascii="Arial" w:hAnsi="Arial" w:cs="Arial"/>
              </w:rPr>
              <w:t>School</w:t>
            </w:r>
          </w:p>
        </w:tc>
        <w:tc>
          <w:tcPr>
            <w:tcW w:w="2892" w:type="dxa"/>
            <w:shd w:val="clear" w:color="auto" w:fill="BDD6EE" w:themeFill="accent1" w:themeFillTint="66"/>
          </w:tcPr>
          <w:p w:rsidR="00143394" w:rsidRDefault="00143394" w:rsidP="00143394">
            <w:pPr>
              <w:jc w:val="center"/>
              <w:rPr>
                <w:rFonts w:ascii="Arial" w:hAnsi="Arial" w:cs="Arial"/>
              </w:rPr>
            </w:pPr>
            <w:r>
              <w:rPr>
                <w:rFonts w:ascii="Arial" w:hAnsi="Arial" w:cs="Arial"/>
              </w:rPr>
              <w:t>National Average</w:t>
            </w:r>
          </w:p>
        </w:tc>
      </w:tr>
      <w:tr w:rsidR="00143394" w:rsidTr="00143394">
        <w:tc>
          <w:tcPr>
            <w:tcW w:w="4673" w:type="dxa"/>
            <w:shd w:val="clear" w:color="auto" w:fill="BDD6EE" w:themeFill="accent1" w:themeFillTint="66"/>
          </w:tcPr>
          <w:p w:rsidR="00143394" w:rsidRDefault="00143394" w:rsidP="0038326E">
            <w:pPr>
              <w:rPr>
                <w:rFonts w:ascii="Arial" w:hAnsi="Arial" w:cs="Arial"/>
              </w:rPr>
            </w:pPr>
            <w:r>
              <w:rPr>
                <w:rFonts w:ascii="Arial" w:hAnsi="Arial" w:cs="Arial"/>
              </w:rPr>
              <w:t>Percentage of pupils who achieved the Expected Standard</w:t>
            </w:r>
          </w:p>
        </w:tc>
        <w:tc>
          <w:tcPr>
            <w:tcW w:w="2891" w:type="dxa"/>
          </w:tcPr>
          <w:p w:rsidR="00143394" w:rsidRDefault="007144A4" w:rsidP="007144A4">
            <w:pPr>
              <w:jc w:val="center"/>
              <w:rPr>
                <w:rFonts w:ascii="Arial" w:hAnsi="Arial" w:cs="Arial"/>
              </w:rPr>
            </w:pPr>
            <w:r>
              <w:rPr>
                <w:rFonts w:ascii="Arial" w:hAnsi="Arial" w:cs="Arial"/>
              </w:rPr>
              <w:t>57%</w:t>
            </w:r>
          </w:p>
        </w:tc>
        <w:tc>
          <w:tcPr>
            <w:tcW w:w="2892" w:type="dxa"/>
          </w:tcPr>
          <w:p w:rsidR="00143394" w:rsidRDefault="007144A4" w:rsidP="007144A4">
            <w:pPr>
              <w:jc w:val="center"/>
              <w:rPr>
                <w:rFonts w:ascii="Arial" w:hAnsi="Arial" w:cs="Arial"/>
              </w:rPr>
            </w:pPr>
            <w:r>
              <w:rPr>
                <w:rFonts w:ascii="Arial" w:hAnsi="Arial" w:cs="Arial"/>
              </w:rPr>
              <w:t>72%</w:t>
            </w:r>
          </w:p>
        </w:tc>
      </w:tr>
      <w:tr w:rsidR="00143394" w:rsidTr="00143394">
        <w:tc>
          <w:tcPr>
            <w:tcW w:w="4673" w:type="dxa"/>
            <w:shd w:val="clear" w:color="auto" w:fill="BDD6EE" w:themeFill="accent1" w:themeFillTint="66"/>
          </w:tcPr>
          <w:p w:rsidR="00143394" w:rsidRDefault="00143394" w:rsidP="0038326E">
            <w:pPr>
              <w:rPr>
                <w:rFonts w:ascii="Arial" w:hAnsi="Arial" w:cs="Arial"/>
              </w:rPr>
            </w:pPr>
            <w:r>
              <w:rPr>
                <w:rFonts w:ascii="Arial" w:hAnsi="Arial" w:cs="Arial"/>
              </w:rPr>
              <w:t>Percentage of pupils who achieved the Higher Standard</w:t>
            </w:r>
          </w:p>
        </w:tc>
        <w:tc>
          <w:tcPr>
            <w:tcW w:w="2891" w:type="dxa"/>
          </w:tcPr>
          <w:p w:rsidR="00143394" w:rsidRDefault="007144A4" w:rsidP="007144A4">
            <w:pPr>
              <w:jc w:val="center"/>
              <w:rPr>
                <w:rFonts w:ascii="Arial" w:hAnsi="Arial" w:cs="Arial"/>
              </w:rPr>
            </w:pPr>
            <w:r>
              <w:rPr>
                <w:rFonts w:ascii="Arial" w:hAnsi="Arial" w:cs="Arial"/>
              </w:rPr>
              <w:t>10%</w:t>
            </w:r>
          </w:p>
        </w:tc>
        <w:tc>
          <w:tcPr>
            <w:tcW w:w="2892" w:type="dxa"/>
          </w:tcPr>
          <w:p w:rsidR="00143394" w:rsidRDefault="007144A4" w:rsidP="007144A4">
            <w:pPr>
              <w:jc w:val="center"/>
              <w:rPr>
                <w:rFonts w:ascii="Arial" w:hAnsi="Arial" w:cs="Arial"/>
              </w:rPr>
            </w:pPr>
            <w:r>
              <w:rPr>
                <w:rFonts w:ascii="Arial" w:hAnsi="Arial" w:cs="Arial"/>
              </w:rPr>
              <w:t>30%</w:t>
            </w:r>
          </w:p>
        </w:tc>
      </w:tr>
      <w:tr w:rsidR="00143394" w:rsidTr="00143394">
        <w:tc>
          <w:tcPr>
            <w:tcW w:w="4673" w:type="dxa"/>
            <w:shd w:val="clear" w:color="auto" w:fill="BDD6EE" w:themeFill="accent1" w:themeFillTint="66"/>
          </w:tcPr>
          <w:p w:rsidR="00143394" w:rsidRDefault="00143394" w:rsidP="0038326E">
            <w:pPr>
              <w:rPr>
                <w:rFonts w:ascii="Arial" w:hAnsi="Arial" w:cs="Arial"/>
              </w:rPr>
            </w:pPr>
            <w:r>
              <w:rPr>
                <w:rFonts w:ascii="Arial" w:hAnsi="Arial" w:cs="Arial"/>
              </w:rPr>
              <w:t>Average Scaled Score</w:t>
            </w:r>
          </w:p>
        </w:tc>
        <w:tc>
          <w:tcPr>
            <w:tcW w:w="2891" w:type="dxa"/>
          </w:tcPr>
          <w:p w:rsidR="00143394" w:rsidRDefault="007144A4" w:rsidP="007144A4">
            <w:pPr>
              <w:jc w:val="center"/>
              <w:rPr>
                <w:rFonts w:ascii="Arial" w:hAnsi="Arial" w:cs="Arial"/>
              </w:rPr>
            </w:pPr>
            <w:r>
              <w:rPr>
                <w:rFonts w:ascii="Arial" w:hAnsi="Arial" w:cs="Arial"/>
              </w:rPr>
              <w:t>102.2</w:t>
            </w:r>
          </w:p>
        </w:tc>
        <w:tc>
          <w:tcPr>
            <w:tcW w:w="2892" w:type="dxa"/>
          </w:tcPr>
          <w:p w:rsidR="00143394" w:rsidRDefault="007144A4" w:rsidP="007144A4">
            <w:pPr>
              <w:jc w:val="center"/>
              <w:rPr>
                <w:rFonts w:ascii="Arial" w:hAnsi="Arial" w:cs="Arial"/>
              </w:rPr>
            </w:pPr>
            <w:r>
              <w:rPr>
                <w:rFonts w:ascii="Arial" w:hAnsi="Arial" w:cs="Arial"/>
              </w:rPr>
              <w:t>104.9</w:t>
            </w:r>
          </w:p>
        </w:tc>
      </w:tr>
    </w:tbl>
    <w:p w:rsidR="00143394" w:rsidRDefault="00143394" w:rsidP="00DB4C49">
      <w:pPr>
        <w:rPr>
          <w:rFonts w:ascii="Arial" w:hAnsi="Arial" w:cs="Arial"/>
          <w:b/>
          <w:color w:val="0070C0"/>
        </w:rPr>
      </w:pPr>
    </w:p>
    <w:p w:rsidR="00143394" w:rsidRDefault="00143394" w:rsidP="00DB4C49">
      <w:pPr>
        <w:rPr>
          <w:rFonts w:ascii="Arial" w:hAnsi="Arial" w:cs="Arial"/>
          <w:b/>
          <w:color w:val="0070C0"/>
        </w:rPr>
      </w:pPr>
      <w:r>
        <w:rPr>
          <w:rFonts w:ascii="Arial" w:hAnsi="Arial" w:cs="Arial"/>
          <w:b/>
          <w:color w:val="0070C0"/>
        </w:rPr>
        <w:t>Mathematics:</w:t>
      </w:r>
    </w:p>
    <w:tbl>
      <w:tblPr>
        <w:tblStyle w:val="TableGrid"/>
        <w:tblW w:w="0" w:type="auto"/>
        <w:tblLook w:val="04A0" w:firstRow="1" w:lastRow="0" w:firstColumn="1" w:lastColumn="0" w:noHBand="0" w:noVBand="1"/>
      </w:tblPr>
      <w:tblGrid>
        <w:gridCol w:w="4673"/>
        <w:gridCol w:w="2891"/>
        <w:gridCol w:w="2892"/>
      </w:tblGrid>
      <w:tr w:rsidR="00143394" w:rsidTr="00143394">
        <w:tc>
          <w:tcPr>
            <w:tcW w:w="4673" w:type="dxa"/>
          </w:tcPr>
          <w:p w:rsidR="00143394" w:rsidRDefault="00143394" w:rsidP="0038326E">
            <w:pPr>
              <w:rPr>
                <w:rFonts w:ascii="Arial" w:hAnsi="Arial" w:cs="Arial"/>
              </w:rPr>
            </w:pPr>
          </w:p>
        </w:tc>
        <w:tc>
          <w:tcPr>
            <w:tcW w:w="2891" w:type="dxa"/>
            <w:shd w:val="clear" w:color="auto" w:fill="BDD6EE" w:themeFill="accent1" w:themeFillTint="66"/>
          </w:tcPr>
          <w:p w:rsidR="00143394" w:rsidRDefault="00143394" w:rsidP="00143394">
            <w:pPr>
              <w:jc w:val="center"/>
              <w:rPr>
                <w:rFonts w:ascii="Arial" w:hAnsi="Arial" w:cs="Arial"/>
              </w:rPr>
            </w:pPr>
            <w:r>
              <w:rPr>
                <w:rFonts w:ascii="Arial" w:hAnsi="Arial" w:cs="Arial"/>
              </w:rPr>
              <w:t>School</w:t>
            </w:r>
          </w:p>
        </w:tc>
        <w:tc>
          <w:tcPr>
            <w:tcW w:w="2892" w:type="dxa"/>
            <w:shd w:val="clear" w:color="auto" w:fill="BDD6EE" w:themeFill="accent1" w:themeFillTint="66"/>
          </w:tcPr>
          <w:p w:rsidR="00143394" w:rsidRDefault="00143394" w:rsidP="00143394">
            <w:pPr>
              <w:jc w:val="center"/>
              <w:rPr>
                <w:rFonts w:ascii="Arial" w:hAnsi="Arial" w:cs="Arial"/>
              </w:rPr>
            </w:pPr>
            <w:r>
              <w:rPr>
                <w:rFonts w:ascii="Arial" w:hAnsi="Arial" w:cs="Arial"/>
              </w:rPr>
              <w:t>National Average</w:t>
            </w:r>
          </w:p>
        </w:tc>
      </w:tr>
      <w:tr w:rsidR="00143394" w:rsidTr="0038326E">
        <w:tc>
          <w:tcPr>
            <w:tcW w:w="4673" w:type="dxa"/>
            <w:shd w:val="clear" w:color="auto" w:fill="BDD6EE" w:themeFill="accent1" w:themeFillTint="66"/>
          </w:tcPr>
          <w:p w:rsidR="00143394" w:rsidRDefault="00143394" w:rsidP="0038326E">
            <w:pPr>
              <w:rPr>
                <w:rFonts w:ascii="Arial" w:hAnsi="Arial" w:cs="Arial"/>
              </w:rPr>
            </w:pPr>
            <w:r>
              <w:rPr>
                <w:rFonts w:ascii="Arial" w:hAnsi="Arial" w:cs="Arial"/>
              </w:rPr>
              <w:t>Percentage of pupils who achieved the Expected Standard</w:t>
            </w:r>
          </w:p>
        </w:tc>
        <w:tc>
          <w:tcPr>
            <w:tcW w:w="2891" w:type="dxa"/>
          </w:tcPr>
          <w:p w:rsidR="00143394" w:rsidRDefault="007144A4" w:rsidP="007144A4">
            <w:pPr>
              <w:jc w:val="center"/>
              <w:rPr>
                <w:rFonts w:ascii="Arial" w:hAnsi="Arial" w:cs="Arial"/>
              </w:rPr>
            </w:pPr>
            <w:r>
              <w:rPr>
                <w:rFonts w:ascii="Arial" w:hAnsi="Arial" w:cs="Arial"/>
              </w:rPr>
              <w:t>57%</w:t>
            </w:r>
          </w:p>
        </w:tc>
        <w:tc>
          <w:tcPr>
            <w:tcW w:w="2892" w:type="dxa"/>
          </w:tcPr>
          <w:p w:rsidR="00143394" w:rsidRDefault="007144A4" w:rsidP="007144A4">
            <w:pPr>
              <w:jc w:val="center"/>
              <w:rPr>
                <w:rFonts w:ascii="Arial" w:hAnsi="Arial" w:cs="Arial"/>
              </w:rPr>
            </w:pPr>
            <w:r>
              <w:rPr>
                <w:rFonts w:ascii="Arial" w:hAnsi="Arial" w:cs="Arial"/>
              </w:rPr>
              <w:t>73%</w:t>
            </w:r>
          </w:p>
        </w:tc>
      </w:tr>
      <w:tr w:rsidR="00143394" w:rsidTr="0038326E">
        <w:tc>
          <w:tcPr>
            <w:tcW w:w="4673" w:type="dxa"/>
            <w:shd w:val="clear" w:color="auto" w:fill="BDD6EE" w:themeFill="accent1" w:themeFillTint="66"/>
          </w:tcPr>
          <w:p w:rsidR="00143394" w:rsidRDefault="00143394" w:rsidP="0038326E">
            <w:pPr>
              <w:rPr>
                <w:rFonts w:ascii="Arial" w:hAnsi="Arial" w:cs="Arial"/>
              </w:rPr>
            </w:pPr>
            <w:r>
              <w:rPr>
                <w:rFonts w:ascii="Arial" w:hAnsi="Arial" w:cs="Arial"/>
              </w:rPr>
              <w:t>Percentage of pupils who achieved the Higher Standard</w:t>
            </w:r>
          </w:p>
        </w:tc>
        <w:tc>
          <w:tcPr>
            <w:tcW w:w="2891" w:type="dxa"/>
          </w:tcPr>
          <w:p w:rsidR="00143394" w:rsidRDefault="0044260B" w:rsidP="007144A4">
            <w:pPr>
              <w:jc w:val="center"/>
              <w:rPr>
                <w:rFonts w:ascii="Arial" w:hAnsi="Arial" w:cs="Arial"/>
              </w:rPr>
            </w:pPr>
            <w:r>
              <w:rPr>
                <w:rFonts w:ascii="Arial" w:hAnsi="Arial" w:cs="Arial"/>
              </w:rPr>
              <w:t>3</w:t>
            </w:r>
            <w:r w:rsidR="007144A4">
              <w:rPr>
                <w:rFonts w:ascii="Arial" w:hAnsi="Arial" w:cs="Arial"/>
              </w:rPr>
              <w:t>%</w:t>
            </w:r>
          </w:p>
        </w:tc>
        <w:tc>
          <w:tcPr>
            <w:tcW w:w="2892" w:type="dxa"/>
          </w:tcPr>
          <w:p w:rsidR="00143394" w:rsidRDefault="0044260B" w:rsidP="007144A4">
            <w:pPr>
              <w:jc w:val="center"/>
              <w:rPr>
                <w:rFonts w:ascii="Arial" w:hAnsi="Arial" w:cs="Arial"/>
              </w:rPr>
            </w:pPr>
            <w:r>
              <w:rPr>
                <w:rFonts w:ascii="Arial" w:hAnsi="Arial" w:cs="Arial"/>
              </w:rPr>
              <w:t>24%</w:t>
            </w:r>
          </w:p>
        </w:tc>
      </w:tr>
      <w:tr w:rsidR="00143394" w:rsidTr="0038326E">
        <w:tc>
          <w:tcPr>
            <w:tcW w:w="4673" w:type="dxa"/>
            <w:shd w:val="clear" w:color="auto" w:fill="BDD6EE" w:themeFill="accent1" w:themeFillTint="66"/>
          </w:tcPr>
          <w:p w:rsidR="00143394" w:rsidRDefault="00143394" w:rsidP="0038326E">
            <w:pPr>
              <w:rPr>
                <w:rFonts w:ascii="Arial" w:hAnsi="Arial" w:cs="Arial"/>
              </w:rPr>
            </w:pPr>
            <w:r>
              <w:rPr>
                <w:rFonts w:ascii="Arial" w:hAnsi="Arial" w:cs="Arial"/>
              </w:rPr>
              <w:t>Average Progress</w:t>
            </w:r>
          </w:p>
        </w:tc>
        <w:tc>
          <w:tcPr>
            <w:tcW w:w="2891" w:type="dxa"/>
          </w:tcPr>
          <w:p w:rsidR="00143394" w:rsidRDefault="0044260B" w:rsidP="007144A4">
            <w:pPr>
              <w:jc w:val="center"/>
              <w:rPr>
                <w:rFonts w:ascii="Arial" w:hAnsi="Arial" w:cs="Arial"/>
              </w:rPr>
            </w:pPr>
            <w:r>
              <w:rPr>
                <w:rFonts w:ascii="Arial" w:hAnsi="Arial" w:cs="Arial"/>
              </w:rPr>
              <w:t>-1.7</w:t>
            </w:r>
          </w:p>
        </w:tc>
        <w:tc>
          <w:tcPr>
            <w:tcW w:w="2892" w:type="dxa"/>
          </w:tcPr>
          <w:p w:rsidR="00143394" w:rsidRDefault="0044260B" w:rsidP="007144A4">
            <w:pPr>
              <w:jc w:val="center"/>
              <w:rPr>
                <w:rFonts w:ascii="Arial" w:hAnsi="Arial" w:cs="Arial"/>
              </w:rPr>
            </w:pPr>
            <w:r>
              <w:rPr>
                <w:rFonts w:ascii="Arial" w:hAnsi="Arial" w:cs="Arial"/>
              </w:rPr>
              <w:t>-</w:t>
            </w:r>
          </w:p>
        </w:tc>
      </w:tr>
      <w:tr w:rsidR="00143394" w:rsidTr="0038326E">
        <w:tc>
          <w:tcPr>
            <w:tcW w:w="4673" w:type="dxa"/>
            <w:shd w:val="clear" w:color="auto" w:fill="BDD6EE" w:themeFill="accent1" w:themeFillTint="66"/>
          </w:tcPr>
          <w:p w:rsidR="00143394" w:rsidRDefault="00143394" w:rsidP="0038326E">
            <w:pPr>
              <w:rPr>
                <w:rFonts w:ascii="Arial" w:hAnsi="Arial" w:cs="Arial"/>
              </w:rPr>
            </w:pPr>
            <w:r>
              <w:rPr>
                <w:rFonts w:ascii="Arial" w:hAnsi="Arial" w:cs="Arial"/>
              </w:rPr>
              <w:t>Average Scaled Score</w:t>
            </w:r>
          </w:p>
        </w:tc>
        <w:tc>
          <w:tcPr>
            <w:tcW w:w="2891" w:type="dxa"/>
          </w:tcPr>
          <w:p w:rsidR="00143394" w:rsidRDefault="007144A4" w:rsidP="007144A4">
            <w:pPr>
              <w:jc w:val="center"/>
              <w:rPr>
                <w:rFonts w:ascii="Arial" w:hAnsi="Arial" w:cs="Arial"/>
              </w:rPr>
            </w:pPr>
            <w:r>
              <w:rPr>
                <w:rFonts w:ascii="Arial" w:hAnsi="Arial" w:cs="Arial"/>
              </w:rPr>
              <w:t>101.2</w:t>
            </w:r>
          </w:p>
        </w:tc>
        <w:tc>
          <w:tcPr>
            <w:tcW w:w="2892" w:type="dxa"/>
          </w:tcPr>
          <w:p w:rsidR="00143394" w:rsidRDefault="007144A4" w:rsidP="007144A4">
            <w:pPr>
              <w:jc w:val="center"/>
              <w:rPr>
                <w:rFonts w:ascii="Arial" w:hAnsi="Arial" w:cs="Arial"/>
              </w:rPr>
            </w:pPr>
            <w:r>
              <w:rPr>
                <w:rFonts w:ascii="Arial" w:hAnsi="Arial" w:cs="Arial"/>
              </w:rPr>
              <w:t>104.2</w:t>
            </w:r>
          </w:p>
        </w:tc>
      </w:tr>
    </w:tbl>
    <w:p w:rsidR="00143394" w:rsidRDefault="00143394" w:rsidP="00DB4C49">
      <w:pPr>
        <w:rPr>
          <w:rFonts w:ascii="Arial" w:hAnsi="Arial" w:cs="Arial"/>
          <w:b/>
          <w:color w:val="0070C0"/>
        </w:rPr>
      </w:pPr>
    </w:p>
    <w:p w:rsidR="00143394" w:rsidRDefault="003D6352" w:rsidP="00DB4C49">
      <w:pPr>
        <w:rPr>
          <w:rFonts w:ascii="Arial" w:hAnsi="Arial" w:cs="Arial"/>
          <w:b/>
          <w:color w:val="0070C0"/>
        </w:rPr>
      </w:pPr>
      <w:r>
        <w:rPr>
          <w:rFonts w:ascii="Arial" w:hAnsi="Arial" w:cs="Arial"/>
          <w:b/>
          <w:color w:val="0070C0"/>
        </w:rPr>
        <w:t>Reading, Writing &amp; Maths Combined:</w:t>
      </w:r>
    </w:p>
    <w:tbl>
      <w:tblPr>
        <w:tblStyle w:val="TableGrid"/>
        <w:tblW w:w="0" w:type="auto"/>
        <w:tblLook w:val="04A0" w:firstRow="1" w:lastRow="0" w:firstColumn="1" w:lastColumn="0" w:noHBand="0" w:noVBand="1"/>
      </w:tblPr>
      <w:tblGrid>
        <w:gridCol w:w="4673"/>
        <w:gridCol w:w="2891"/>
        <w:gridCol w:w="2892"/>
      </w:tblGrid>
      <w:tr w:rsidR="003D6352" w:rsidTr="0038326E">
        <w:tc>
          <w:tcPr>
            <w:tcW w:w="4673" w:type="dxa"/>
          </w:tcPr>
          <w:p w:rsidR="003D6352" w:rsidRDefault="003D6352" w:rsidP="0038326E">
            <w:pPr>
              <w:rPr>
                <w:rFonts w:ascii="Arial" w:hAnsi="Arial" w:cs="Arial"/>
              </w:rPr>
            </w:pPr>
          </w:p>
        </w:tc>
        <w:tc>
          <w:tcPr>
            <w:tcW w:w="2891" w:type="dxa"/>
            <w:shd w:val="clear" w:color="auto" w:fill="BDD6EE" w:themeFill="accent1" w:themeFillTint="66"/>
          </w:tcPr>
          <w:p w:rsidR="003D6352" w:rsidRDefault="003D6352" w:rsidP="0038326E">
            <w:pPr>
              <w:jc w:val="center"/>
              <w:rPr>
                <w:rFonts w:ascii="Arial" w:hAnsi="Arial" w:cs="Arial"/>
              </w:rPr>
            </w:pPr>
            <w:r>
              <w:rPr>
                <w:rFonts w:ascii="Arial" w:hAnsi="Arial" w:cs="Arial"/>
              </w:rPr>
              <w:t>School</w:t>
            </w:r>
          </w:p>
        </w:tc>
        <w:tc>
          <w:tcPr>
            <w:tcW w:w="2892" w:type="dxa"/>
            <w:shd w:val="clear" w:color="auto" w:fill="BDD6EE" w:themeFill="accent1" w:themeFillTint="66"/>
          </w:tcPr>
          <w:p w:rsidR="003D6352" w:rsidRDefault="003D6352" w:rsidP="0038326E">
            <w:pPr>
              <w:jc w:val="center"/>
              <w:rPr>
                <w:rFonts w:ascii="Arial" w:hAnsi="Arial" w:cs="Arial"/>
              </w:rPr>
            </w:pPr>
            <w:r>
              <w:rPr>
                <w:rFonts w:ascii="Arial" w:hAnsi="Arial" w:cs="Arial"/>
              </w:rPr>
              <w:t>National Average</w:t>
            </w:r>
          </w:p>
        </w:tc>
      </w:tr>
      <w:tr w:rsidR="003D6352" w:rsidTr="0038326E">
        <w:tc>
          <w:tcPr>
            <w:tcW w:w="4673" w:type="dxa"/>
            <w:shd w:val="clear" w:color="auto" w:fill="BDD6EE" w:themeFill="accent1" w:themeFillTint="66"/>
          </w:tcPr>
          <w:p w:rsidR="003D6352" w:rsidRDefault="003D6352" w:rsidP="0038326E">
            <w:pPr>
              <w:rPr>
                <w:rFonts w:ascii="Arial" w:hAnsi="Arial" w:cs="Arial"/>
              </w:rPr>
            </w:pPr>
            <w:r>
              <w:rPr>
                <w:rFonts w:ascii="Arial" w:hAnsi="Arial" w:cs="Arial"/>
              </w:rPr>
              <w:t>Percentage of pupils who achieved the Expected Standard</w:t>
            </w:r>
            <w:r>
              <w:rPr>
                <w:rFonts w:ascii="Arial" w:hAnsi="Arial" w:cs="Arial"/>
              </w:rPr>
              <w:t xml:space="preserve"> in Reading, Writing &amp; Maths</w:t>
            </w:r>
          </w:p>
        </w:tc>
        <w:tc>
          <w:tcPr>
            <w:tcW w:w="2891" w:type="dxa"/>
          </w:tcPr>
          <w:p w:rsidR="003D6352" w:rsidRDefault="0044260B" w:rsidP="0044260B">
            <w:pPr>
              <w:jc w:val="center"/>
              <w:rPr>
                <w:rFonts w:ascii="Arial" w:hAnsi="Arial" w:cs="Arial"/>
              </w:rPr>
            </w:pPr>
            <w:r>
              <w:rPr>
                <w:rFonts w:ascii="Arial" w:hAnsi="Arial" w:cs="Arial"/>
              </w:rPr>
              <w:t>47%</w:t>
            </w:r>
          </w:p>
        </w:tc>
        <w:tc>
          <w:tcPr>
            <w:tcW w:w="2892" w:type="dxa"/>
          </w:tcPr>
          <w:p w:rsidR="003D6352" w:rsidRDefault="0044260B" w:rsidP="0044260B">
            <w:pPr>
              <w:jc w:val="center"/>
              <w:rPr>
                <w:rFonts w:ascii="Arial" w:hAnsi="Arial" w:cs="Arial"/>
              </w:rPr>
            </w:pPr>
            <w:r>
              <w:rPr>
                <w:rFonts w:ascii="Arial" w:hAnsi="Arial" w:cs="Arial"/>
              </w:rPr>
              <w:t>59%</w:t>
            </w:r>
          </w:p>
        </w:tc>
      </w:tr>
      <w:tr w:rsidR="003D6352" w:rsidTr="0038326E">
        <w:tc>
          <w:tcPr>
            <w:tcW w:w="4673" w:type="dxa"/>
            <w:shd w:val="clear" w:color="auto" w:fill="BDD6EE" w:themeFill="accent1" w:themeFillTint="66"/>
          </w:tcPr>
          <w:p w:rsidR="003D6352" w:rsidRDefault="003D6352" w:rsidP="0038326E">
            <w:pPr>
              <w:rPr>
                <w:rFonts w:ascii="Arial" w:hAnsi="Arial" w:cs="Arial"/>
              </w:rPr>
            </w:pPr>
            <w:r>
              <w:rPr>
                <w:rFonts w:ascii="Arial" w:hAnsi="Arial" w:cs="Arial"/>
              </w:rPr>
              <w:t>Percentage of pupils who achieved the Higher Standard</w:t>
            </w:r>
            <w:r>
              <w:rPr>
                <w:rFonts w:ascii="Arial" w:hAnsi="Arial" w:cs="Arial"/>
              </w:rPr>
              <w:t xml:space="preserve"> in Reading, Writing &amp; Maths</w:t>
            </w:r>
          </w:p>
          <w:p w:rsidR="003D6352" w:rsidRDefault="003D6352" w:rsidP="0038326E">
            <w:pPr>
              <w:rPr>
                <w:rFonts w:ascii="Arial" w:hAnsi="Arial" w:cs="Arial"/>
              </w:rPr>
            </w:pPr>
          </w:p>
        </w:tc>
        <w:tc>
          <w:tcPr>
            <w:tcW w:w="2891" w:type="dxa"/>
          </w:tcPr>
          <w:p w:rsidR="003D6352" w:rsidRDefault="0044260B" w:rsidP="0044260B">
            <w:pPr>
              <w:jc w:val="center"/>
              <w:rPr>
                <w:rFonts w:ascii="Arial" w:hAnsi="Arial" w:cs="Arial"/>
              </w:rPr>
            </w:pPr>
            <w:r>
              <w:rPr>
                <w:rFonts w:ascii="Arial" w:hAnsi="Arial" w:cs="Arial"/>
              </w:rPr>
              <w:t>3%</w:t>
            </w:r>
          </w:p>
        </w:tc>
        <w:tc>
          <w:tcPr>
            <w:tcW w:w="2892" w:type="dxa"/>
          </w:tcPr>
          <w:p w:rsidR="003D6352" w:rsidRDefault="0044260B" w:rsidP="0044260B">
            <w:pPr>
              <w:jc w:val="center"/>
              <w:rPr>
                <w:rFonts w:ascii="Arial" w:hAnsi="Arial" w:cs="Arial"/>
              </w:rPr>
            </w:pPr>
            <w:r>
              <w:rPr>
                <w:rFonts w:ascii="Arial" w:hAnsi="Arial" w:cs="Arial"/>
              </w:rPr>
              <w:t>8%</w:t>
            </w:r>
          </w:p>
        </w:tc>
      </w:tr>
    </w:tbl>
    <w:p w:rsidR="003D6352" w:rsidRPr="00143394" w:rsidRDefault="003D6352" w:rsidP="00DB4C49">
      <w:pPr>
        <w:rPr>
          <w:rFonts w:ascii="Arial" w:hAnsi="Arial" w:cs="Arial"/>
          <w:b/>
          <w:color w:val="0070C0"/>
        </w:rPr>
      </w:pPr>
    </w:p>
    <w:sectPr w:rsidR="003D6352" w:rsidRPr="00143394" w:rsidSect="00DB4C4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C49"/>
    <w:rsid w:val="00143394"/>
    <w:rsid w:val="001B1C98"/>
    <w:rsid w:val="003D6352"/>
    <w:rsid w:val="0044260B"/>
    <w:rsid w:val="007144A4"/>
    <w:rsid w:val="00DB4C49"/>
    <w:rsid w:val="00DB73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6A461"/>
  <w15:chartTrackingRefBased/>
  <w15:docId w15:val="{4974DCD6-9382-4C2E-80C7-1755747F9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4C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Bolton SICT</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Messham</dc:creator>
  <cp:keywords/>
  <dc:description/>
  <cp:lastModifiedBy>Mandy Messham</cp:lastModifiedBy>
  <cp:revision>1</cp:revision>
  <dcterms:created xsi:type="dcterms:W3CDTF">2023-11-22T14:32:00Z</dcterms:created>
  <dcterms:modified xsi:type="dcterms:W3CDTF">2023-11-22T15:22:00Z</dcterms:modified>
</cp:coreProperties>
</file>